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1D423">
      <w:pPr>
        <w:widowControl/>
        <w:spacing w:line="240" w:lineRule="auto"/>
        <w:ind w:left="0" w:firstLine="6480" w:firstLineChars="2700"/>
        <w:rPr>
          <w:rFonts w:eastAsia="宋体"/>
          <w:color w:val="000000"/>
          <w:lang w:val="en-US" w:eastAsia="zh-CN"/>
        </w:rPr>
      </w:pPr>
      <w:bookmarkStart w:id="0" w:name="_Toc355274223"/>
      <w:bookmarkStart w:id="1" w:name="_Toc355807471"/>
      <w:bookmarkStart w:id="2" w:name="_Toc355361237"/>
      <w:bookmarkStart w:id="3" w:name="_Toc355204232"/>
      <w:bookmarkStart w:id="4" w:name="_Toc355274957"/>
      <w:bookmarkStart w:id="5" w:name="_Toc355614273"/>
      <w:r>
        <w:rPr>
          <w:color w:val="000000"/>
        </w:rPr>
        <w:t>学号：</w:t>
      </w:r>
      <w:r>
        <w:rPr>
          <w:rFonts w:hint="eastAsia"/>
          <w:color w:val="000000"/>
          <w:lang w:val="en-US" w:eastAsia="zh-CN"/>
        </w:rPr>
        <w:t>2022013482</w:t>
      </w:r>
    </w:p>
    <w:p w14:paraId="3D069A40">
      <w:pPr>
        <w:spacing w:line="240" w:lineRule="auto"/>
        <w:ind w:firstLine="0" w:firstLineChars="0"/>
        <w:jc w:val="center"/>
        <w:rPr>
          <w:color w:val="000000"/>
        </w:rPr>
      </w:pPr>
    </w:p>
    <w:p w14:paraId="2BB5DD4A">
      <w:pPr>
        <w:spacing w:line="240" w:lineRule="auto"/>
        <w:ind w:firstLine="0" w:firstLineChars="0"/>
        <w:jc w:val="center"/>
        <w:rPr>
          <w:color w:val="000000"/>
        </w:rPr>
      </w:pPr>
    </w:p>
    <w:p w14:paraId="5D794AE3">
      <w:pPr>
        <w:spacing w:line="240" w:lineRule="auto"/>
        <w:ind w:firstLine="0" w:firstLineChars="0"/>
        <w:jc w:val="center"/>
        <w:rPr>
          <w:color w:val="000000"/>
        </w:rPr>
      </w:pPr>
    </w:p>
    <w:p w14:paraId="23DBFF89">
      <w:pPr>
        <w:spacing w:line="240" w:lineRule="auto"/>
        <w:ind w:firstLine="0" w:firstLineChars="0"/>
        <w:jc w:val="center"/>
        <w:rPr>
          <w:color w:val="000000"/>
        </w:rPr>
      </w:pPr>
      <w:r>
        <w:rPr>
          <w:color w:val="000000"/>
        </w:rPr>
        <w:drawing>
          <wp:inline distT="0" distB="0" distL="0" distR="0">
            <wp:extent cx="3468370" cy="704850"/>
            <wp:effectExtent l="0" t="0" r="6350" b="1143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3" cstate="print"/>
                    <a:srcRect t="23809" b="21131"/>
                    <a:stretch>
                      <a:fillRect/>
                    </a:stretch>
                  </pic:blipFill>
                  <pic:spPr>
                    <a:xfrm>
                      <a:off x="0" y="0"/>
                      <a:ext cx="3468370" cy="704850"/>
                    </a:xfrm>
                    <a:prstGeom prst="rect">
                      <a:avLst/>
                    </a:prstGeom>
                    <a:ln>
                      <a:noFill/>
                    </a:ln>
                  </pic:spPr>
                </pic:pic>
              </a:graphicData>
            </a:graphic>
          </wp:inline>
        </w:drawing>
      </w:r>
    </w:p>
    <w:p w14:paraId="008692C9">
      <w:pPr>
        <w:spacing w:line="240" w:lineRule="auto"/>
        <w:ind w:firstLine="0" w:firstLineChars="0"/>
        <w:jc w:val="center"/>
        <w:rPr>
          <w:color w:val="000F6F"/>
          <w:szCs w:val="21"/>
        </w:rPr>
      </w:pPr>
    </w:p>
    <w:p w14:paraId="3F9EF05C">
      <w:pPr>
        <w:spacing w:line="240" w:lineRule="auto"/>
        <w:ind w:firstLine="0" w:firstLineChars="0"/>
        <w:jc w:val="center"/>
        <w:rPr>
          <w:color w:val="000000"/>
        </w:rPr>
      </w:pPr>
    </w:p>
    <w:p w14:paraId="20985C3C">
      <w:pPr>
        <w:spacing w:before="240" w:beforeLines="100" w:after="240" w:afterLines="100" w:line="240" w:lineRule="auto"/>
        <w:ind w:firstLine="0" w:firstLineChars="0"/>
        <w:jc w:val="center"/>
        <w:rPr>
          <w:rFonts w:ascii="黑体" w:eastAsia="黑体"/>
          <w:sz w:val="40"/>
          <w:szCs w:val="28"/>
        </w:rPr>
      </w:pPr>
      <w:r>
        <w:rPr>
          <w:rFonts w:hint="eastAsia" w:ascii="黑体" w:eastAsia="黑体"/>
          <w:sz w:val="40"/>
          <w:szCs w:val="28"/>
          <w:lang w:val="en-US" w:eastAsia="zh-CN"/>
        </w:rPr>
        <w:t>2026届</w:t>
      </w:r>
      <w:r>
        <w:rPr>
          <w:rFonts w:hint="eastAsia" w:ascii="黑体" w:eastAsia="黑体"/>
          <w:sz w:val="40"/>
          <w:szCs w:val="28"/>
        </w:rPr>
        <w:t>本科毕业</w:t>
      </w:r>
      <w:r>
        <w:rPr>
          <w:rFonts w:ascii="黑体" w:eastAsia="黑体"/>
          <w:sz w:val="40"/>
          <w:szCs w:val="28"/>
        </w:rPr>
        <w:t>论文</w:t>
      </w:r>
    </w:p>
    <w:p w14:paraId="1ED9EBCD">
      <w:pPr>
        <w:spacing w:line="240" w:lineRule="auto"/>
        <w:ind w:firstLine="0" w:firstLineChars="0"/>
        <w:jc w:val="center"/>
      </w:pPr>
    </w:p>
    <w:p w14:paraId="3E8BCAE7">
      <w:pPr>
        <w:pStyle w:val="30"/>
      </w:pPr>
      <w:r>
        <w:rPr>
          <w:rFonts w:hint="eastAsia"/>
        </w:rPr>
        <w:t>基于联邦学习的农作物图像识别协同训练系统研究</w:t>
      </w:r>
    </w:p>
    <w:p w14:paraId="067FDBB1"/>
    <w:p w14:paraId="11D0D421">
      <w:pPr>
        <w:pStyle w:val="30"/>
        <w:rPr>
          <w:rFonts w:hint="eastAsia" w:eastAsia="黑体"/>
          <w:lang w:eastAsia="zh-CN"/>
        </w:rPr>
      </w:pPr>
      <w:r>
        <w:rPr>
          <w:rFonts w:hint="eastAsia"/>
          <w:lang w:val="en-US" w:eastAsia="zh-CN"/>
        </w:rPr>
        <w:t>Research on Collaborative Training System for Crop Image Recognition Based on Federated Learning</w:t>
      </w:r>
    </w:p>
    <w:p w14:paraId="37BA44DD">
      <w:pPr>
        <w:spacing w:line="240" w:lineRule="auto"/>
        <w:ind w:firstLine="0" w:firstLineChars="0"/>
        <w:jc w:val="center"/>
      </w:pPr>
    </w:p>
    <w:p w14:paraId="0379D1B0">
      <w:pPr>
        <w:spacing w:line="240" w:lineRule="auto"/>
        <w:ind w:firstLine="0" w:firstLineChars="0"/>
        <w:jc w:val="center"/>
      </w:pPr>
    </w:p>
    <w:p w14:paraId="2C10201C">
      <w:pPr>
        <w:spacing w:line="240" w:lineRule="auto"/>
        <w:ind w:firstLine="0" w:firstLineChars="0"/>
        <w:jc w:val="both"/>
      </w:pPr>
    </w:p>
    <w:p w14:paraId="739AFF61">
      <w:pPr>
        <w:spacing w:line="360" w:lineRule="auto"/>
        <w:ind w:left="839" w:firstLine="0" w:firstLineChars="0"/>
        <w:jc w:val="both"/>
        <w:textAlignment w:val="center"/>
        <w:rPr>
          <w:rFonts w:ascii="黑体" w:eastAsia="黑体"/>
          <w:sz w:val="30"/>
          <w:szCs w:val="30"/>
        </w:rPr>
      </w:pPr>
      <w:r>
        <w:rPr>
          <w:rFonts w:hint="eastAsia" w:ascii="黑体" w:eastAsia="黑体"/>
          <w:kern w:val="0"/>
          <w:sz w:val="30"/>
          <w:szCs w:val="30"/>
          <w:lang w:eastAsia="zh-CN"/>
        </w:rPr>
        <w:t>　　　　　</w:t>
      </w:r>
      <w:r>
        <w:rPr>
          <w:rFonts w:hint="eastAsia" w:ascii="黑体" w:eastAsia="黑体"/>
          <w:spacing w:val="150"/>
          <w:kern w:val="0"/>
          <w:sz w:val="30"/>
          <w:szCs w:val="30"/>
          <w:fitText w:val="2100" w:id="27"/>
        </w:rPr>
        <w:t>学生姓</w:t>
      </w:r>
      <w:r>
        <w:rPr>
          <w:rFonts w:hint="eastAsia" w:ascii="黑体" w:eastAsia="黑体"/>
          <w:spacing w:val="0"/>
          <w:kern w:val="0"/>
          <w:sz w:val="30"/>
          <w:szCs w:val="30"/>
          <w:fitText w:val="2100" w:id="27"/>
        </w:rPr>
        <w:t>名</w:t>
      </w:r>
      <w:r>
        <w:rPr>
          <w:rFonts w:ascii="黑体" w:eastAsia="黑体"/>
          <w:sz w:val="30"/>
          <w:szCs w:val="30"/>
        </w:rPr>
        <w:t>：</w:t>
      </w:r>
      <w:r>
        <w:rPr>
          <w:rFonts w:hint="eastAsia" w:ascii="黑体" w:eastAsia="黑体"/>
          <w:sz w:val="30"/>
          <w:szCs w:val="30"/>
          <w:lang w:val="en-US" w:eastAsia="zh-CN"/>
        </w:rPr>
        <w:tab/>
      </w:r>
      <w:r>
        <w:rPr>
          <w:rFonts w:hint="eastAsia" w:ascii="黑体" w:eastAsia="黑体"/>
          <w:sz w:val="30"/>
          <w:szCs w:val="30"/>
          <w:lang w:val="en-US" w:eastAsia="zh-CN"/>
        </w:rPr>
        <w:t>潘旺</w:t>
      </w:r>
    </w:p>
    <w:p w14:paraId="02846AE8">
      <w:pPr>
        <w:spacing w:line="360" w:lineRule="auto"/>
        <w:ind w:left="839" w:firstLine="0" w:firstLineChars="0"/>
        <w:jc w:val="both"/>
        <w:textAlignment w:val="center"/>
        <w:rPr>
          <w:rFonts w:ascii="黑体" w:eastAsia="黑体"/>
          <w:position w:val="-6"/>
          <w:sz w:val="30"/>
          <w:szCs w:val="30"/>
          <w:lang w:val="en-US"/>
        </w:rPr>
      </w:pPr>
      <w:r>
        <w:rPr>
          <w:rFonts w:hint="eastAsia" w:ascii="黑体" w:eastAsia="黑体"/>
          <w:kern w:val="0"/>
          <w:sz w:val="30"/>
          <w:szCs w:val="30"/>
          <w:lang w:eastAsia="zh-CN"/>
        </w:rPr>
        <w:t>　　　　　</w:t>
      </w:r>
      <w:r>
        <w:rPr>
          <w:rFonts w:ascii="黑体" w:eastAsia="黑体"/>
          <w:spacing w:val="150"/>
          <w:kern w:val="0"/>
          <w:sz w:val="30"/>
          <w:szCs w:val="30"/>
          <w:fitText w:val="2100" w:id="32"/>
        </w:rPr>
        <w:t>指导教</w:t>
      </w:r>
      <w:r>
        <w:rPr>
          <w:rFonts w:ascii="黑体" w:eastAsia="黑体"/>
          <w:spacing w:val="0"/>
          <w:kern w:val="0"/>
          <w:sz w:val="30"/>
          <w:szCs w:val="30"/>
          <w:fitText w:val="2100" w:id="32"/>
        </w:rPr>
        <w:t>师</w:t>
      </w:r>
      <w:r>
        <w:rPr>
          <w:rFonts w:ascii="黑体" w:eastAsia="黑体"/>
          <w:sz w:val="30"/>
          <w:szCs w:val="30"/>
        </w:rPr>
        <w:t>：</w:t>
      </w:r>
      <w:r>
        <w:rPr>
          <w:rFonts w:hint="eastAsia" w:ascii="黑体" w:eastAsia="黑体"/>
          <w:sz w:val="30"/>
          <w:szCs w:val="30"/>
          <w:lang w:val="en-US" w:eastAsia="zh-CN"/>
        </w:rPr>
        <w:tab/>
      </w:r>
      <w:r>
        <w:rPr>
          <w:rFonts w:hint="eastAsia" w:ascii="黑体" w:eastAsia="黑体"/>
          <w:sz w:val="30"/>
          <w:szCs w:val="30"/>
          <w:lang w:val="en-US" w:eastAsia="zh-CN"/>
        </w:rPr>
        <w:t xml:space="preserve">纪泽宇 </w:t>
      </w:r>
    </w:p>
    <w:p w14:paraId="1D1D1732">
      <w:pPr>
        <w:spacing w:line="360" w:lineRule="auto"/>
        <w:ind w:left="839" w:firstLine="0" w:firstLineChars="0"/>
        <w:jc w:val="both"/>
        <w:textAlignment w:val="center"/>
        <w:rPr>
          <w:rFonts w:ascii="黑体" w:eastAsia="黑体"/>
          <w:position w:val="-6"/>
          <w:sz w:val="30"/>
          <w:szCs w:val="30"/>
        </w:rPr>
      </w:pPr>
      <w:r>
        <w:rPr>
          <w:rFonts w:hint="eastAsia" w:ascii="黑体" w:eastAsia="黑体"/>
          <w:kern w:val="0"/>
          <w:sz w:val="30"/>
          <w:szCs w:val="30"/>
          <w:lang w:eastAsia="zh-CN"/>
        </w:rPr>
        <w:t>　　　　　</w:t>
      </w:r>
      <w:r>
        <w:rPr>
          <w:rFonts w:ascii="黑体" w:eastAsia="黑体"/>
          <w:spacing w:val="30"/>
          <w:kern w:val="0"/>
          <w:sz w:val="30"/>
          <w:szCs w:val="30"/>
          <w:fitText w:val="2100" w:id="37"/>
        </w:rPr>
        <w:t>合作指导教</w:t>
      </w:r>
      <w:r>
        <w:rPr>
          <w:rFonts w:ascii="黑体" w:eastAsia="黑体"/>
          <w:spacing w:val="0"/>
          <w:kern w:val="0"/>
          <w:sz w:val="30"/>
          <w:szCs w:val="30"/>
          <w:fitText w:val="2100" w:id="37"/>
        </w:rPr>
        <w:t>师</w:t>
      </w:r>
      <w:r>
        <w:rPr>
          <w:rFonts w:ascii="黑体" w:eastAsia="黑体"/>
          <w:sz w:val="30"/>
          <w:szCs w:val="30"/>
        </w:rPr>
        <w:t>：</w:t>
      </w:r>
    </w:p>
    <w:p w14:paraId="0BD619D8">
      <w:pPr>
        <w:spacing w:line="360" w:lineRule="auto"/>
        <w:ind w:left="839" w:firstLine="0" w:firstLineChars="0"/>
        <w:jc w:val="both"/>
        <w:textAlignment w:val="center"/>
        <w:rPr>
          <w:rFonts w:ascii="黑体" w:eastAsia="黑体"/>
          <w:position w:val="-6"/>
          <w:sz w:val="30"/>
          <w:szCs w:val="30"/>
        </w:rPr>
      </w:pPr>
      <w:r>
        <w:rPr>
          <w:rFonts w:hint="eastAsia" w:ascii="黑体" w:eastAsia="黑体"/>
          <w:kern w:val="0"/>
          <w:sz w:val="30"/>
          <w:szCs w:val="30"/>
          <w:lang w:eastAsia="zh-CN"/>
        </w:rPr>
        <w:t>　　　　　</w:t>
      </w:r>
      <w:r>
        <w:rPr>
          <w:rFonts w:ascii="黑体" w:eastAsia="黑体"/>
          <w:spacing w:val="30"/>
          <w:kern w:val="0"/>
          <w:sz w:val="30"/>
          <w:szCs w:val="30"/>
          <w:fitText w:val="2100" w:id="41"/>
        </w:rPr>
        <w:t>申请学位类</w:t>
      </w:r>
      <w:r>
        <w:rPr>
          <w:rFonts w:ascii="黑体" w:eastAsia="黑体"/>
          <w:spacing w:val="0"/>
          <w:kern w:val="0"/>
          <w:sz w:val="30"/>
          <w:szCs w:val="30"/>
          <w:fitText w:val="2100" w:id="41"/>
        </w:rPr>
        <w:t>别</w:t>
      </w:r>
      <w:r>
        <w:rPr>
          <w:rFonts w:ascii="黑体" w:eastAsia="黑体"/>
          <w:sz w:val="30"/>
          <w:szCs w:val="30"/>
        </w:rPr>
        <w:t>：</w:t>
      </w:r>
      <w:r>
        <w:rPr>
          <w:rFonts w:hint="eastAsia" w:ascii="黑体" w:eastAsia="黑体"/>
          <w:sz w:val="30"/>
          <w:szCs w:val="30"/>
          <w:lang w:val="en-US" w:eastAsia="zh-CN"/>
        </w:rPr>
        <w:tab/>
      </w:r>
      <w:r>
        <w:rPr>
          <w:rFonts w:hint="eastAsia" w:ascii="黑体" w:eastAsia="黑体"/>
          <w:sz w:val="30"/>
          <w:szCs w:val="30"/>
          <w:lang w:val="en-US" w:eastAsia="zh-CN"/>
        </w:rPr>
        <w:t>工学</w:t>
      </w:r>
    </w:p>
    <w:p w14:paraId="0922D0C9">
      <w:pPr>
        <w:spacing w:line="360" w:lineRule="auto"/>
        <w:ind w:left="839" w:firstLine="0" w:firstLineChars="0"/>
        <w:jc w:val="both"/>
        <w:textAlignment w:val="center"/>
        <w:rPr>
          <w:rFonts w:ascii="黑体" w:eastAsia="黑体"/>
          <w:position w:val="-6"/>
          <w:sz w:val="30"/>
          <w:szCs w:val="30"/>
        </w:rPr>
      </w:pPr>
      <w:r>
        <w:rPr>
          <w:rFonts w:hint="eastAsia" w:ascii="黑体" w:eastAsia="黑体"/>
          <w:kern w:val="0"/>
          <w:sz w:val="30"/>
          <w:szCs w:val="30"/>
          <w:lang w:eastAsia="zh-CN"/>
        </w:rPr>
        <w:t>　　　　　</w:t>
      </w:r>
      <w:r>
        <w:rPr>
          <w:rFonts w:ascii="黑体" w:eastAsia="黑体"/>
          <w:spacing w:val="150"/>
          <w:kern w:val="0"/>
          <w:sz w:val="30"/>
          <w:szCs w:val="30"/>
          <w:fitText w:val="2100" w:id="46"/>
        </w:rPr>
        <w:t>专业名</w:t>
      </w:r>
      <w:r>
        <w:rPr>
          <w:rFonts w:ascii="黑体" w:eastAsia="黑体"/>
          <w:spacing w:val="0"/>
          <w:kern w:val="0"/>
          <w:sz w:val="30"/>
          <w:szCs w:val="30"/>
          <w:fitText w:val="2100" w:id="46"/>
        </w:rPr>
        <w:t>称</w:t>
      </w:r>
      <w:r>
        <w:rPr>
          <w:rFonts w:ascii="黑体" w:eastAsia="黑体"/>
          <w:position w:val="-6"/>
          <w:sz w:val="30"/>
          <w:szCs w:val="30"/>
        </w:rPr>
        <w:t>：</w:t>
      </w:r>
      <w:r>
        <w:rPr>
          <w:rFonts w:hint="eastAsia" w:ascii="黑体" w:eastAsia="黑体"/>
          <w:position w:val="-6"/>
          <w:sz w:val="30"/>
          <w:szCs w:val="30"/>
          <w:lang w:val="en-US" w:eastAsia="zh-CN"/>
        </w:rPr>
        <w:tab/>
      </w:r>
      <w:r>
        <w:rPr>
          <w:rFonts w:hint="eastAsia" w:ascii="黑体" w:eastAsia="黑体"/>
          <w:sz w:val="30"/>
          <w:szCs w:val="30"/>
          <w:lang w:val="en-US" w:eastAsia="zh-CN"/>
        </w:rPr>
        <w:t>软件工程</w:t>
      </w:r>
    </w:p>
    <w:p w14:paraId="6B348A20">
      <w:pPr>
        <w:spacing w:line="360" w:lineRule="auto"/>
        <w:ind w:left="839" w:firstLine="0" w:firstLineChars="0"/>
        <w:jc w:val="both"/>
        <w:textAlignment w:val="center"/>
        <w:rPr>
          <w:rFonts w:ascii="黑体" w:eastAsia="黑体"/>
          <w:sz w:val="30"/>
          <w:szCs w:val="30"/>
        </w:rPr>
      </w:pPr>
      <w:r>
        <w:rPr>
          <w:rFonts w:hint="eastAsia" w:ascii="黑体" w:eastAsia="黑体"/>
          <w:kern w:val="0"/>
          <w:sz w:val="30"/>
          <w:szCs w:val="30"/>
          <w:lang w:eastAsia="zh-CN"/>
        </w:rPr>
        <w:t>　　　　　</w:t>
      </w:r>
      <w:r>
        <w:rPr>
          <w:rFonts w:hint="eastAsia" w:ascii="黑体" w:eastAsia="黑体"/>
          <w:spacing w:val="150"/>
          <w:kern w:val="0"/>
          <w:sz w:val="30"/>
          <w:szCs w:val="30"/>
          <w:fitText w:val="2100" w:id="52"/>
        </w:rPr>
        <w:t>培养单</w:t>
      </w:r>
      <w:r>
        <w:rPr>
          <w:rFonts w:hint="eastAsia" w:ascii="黑体" w:eastAsia="黑体"/>
          <w:spacing w:val="0"/>
          <w:kern w:val="0"/>
          <w:sz w:val="30"/>
          <w:szCs w:val="30"/>
          <w:fitText w:val="2100" w:id="52"/>
        </w:rPr>
        <w:t>位</w:t>
      </w:r>
      <w:r>
        <w:rPr>
          <w:rFonts w:ascii="黑体" w:eastAsia="黑体"/>
          <w:sz w:val="30"/>
          <w:szCs w:val="30"/>
        </w:rPr>
        <w:t>：</w:t>
      </w:r>
      <w:r>
        <w:rPr>
          <w:rFonts w:hint="eastAsia" w:ascii="黑体" w:eastAsia="黑体"/>
          <w:sz w:val="30"/>
          <w:szCs w:val="30"/>
          <w:lang w:val="en-US" w:eastAsia="zh-CN"/>
        </w:rPr>
        <w:tab/>
      </w:r>
      <w:r>
        <w:rPr>
          <w:rFonts w:hint="eastAsia" w:ascii="黑体" w:eastAsia="黑体"/>
          <w:sz w:val="30"/>
          <w:szCs w:val="30"/>
          <w:lang w:val="en-US" w:eastAsia="zh-CN"/>
        </w:rPr>
        <w:t>信息工程学院</w:t>
      </w:r>
    </w:p>
    <w:p w14:paraId="0D9022E4">
      <w:pPr>
        <w:spacing w:line="360" w:lineRule="auto"/>
        <w:ind w:firstLine="0" w:firstLineChars="0"/>
        <w:jc w:val="left"/>
        <w:rPr>
          <w:rFonts w:ascii="黑体" w:eastAsia="黑体"/>
          <w:position w:val="-6"/>
          <w:sz w:val="30"/>
          <w:szCs w:val="30"/>
        </w:rPr>
      </w:pPr>
    </w:p>
    <w:p w14:paraId="79AC9F79">
      <w:pPr>
        <w:spacing w:line="360" w:lineRule="auto"/>
        <w:ind w:firstLine="0" w:firstLineChars="0"/>
        <w:jc w:val="center"/>
        <w:rPr>
          <w:rFonts w:ascii="黑体" w:eastAsia="黑体"/>
          <w:position w:val="-6"/>
          <w:sz w:val="30"/>
          <w:szCs w:val="30"/>
        </w:rPr>
      </w:pPr>
    </w:p>
    <w:p w14:paraId="4C0BF815">
      <w:pPr>
        <w:spacing w:line="360" w:lineRule="auto"/>
        <w:ind w:firstLine="0" w:firstLineChars="0"/>
        <w:jc w:val="center"/>
        <w:rPr>
          <w:sz w:val="28"/>
        </w:rPr>
      </w:pPr>
      <w:r>
        <w:rPr>
          <w:rFonts w:ascii="黑体" w:eastAsia="黑体"/>
          <w:position w:val="-6"/>
          <w:sz w:val="30"/>
          <w:szCs w:val="30"/>
        </w:rPr>
        <w:t>20</w:t>
      </w:r>
      <w:r>
        <w:rPr>
          <w:rFonts w:hint="eastAsia" w:ascii="黑体" w:eastAsia="黑体"/>
          <w:position w:val="-6"/>
          <w:sz w:val="30"/>
          <w:szCs w:val="30"/>
          <w:lang w:val="en-US" w:eastAsia="zh-CN"/>
        </w:rPr>
        <w:t>26</w:t>
      </w:r>
      <w:r>
        <w:rPr>
          <w:rFonts w:hint="eastAsia" w:ascii="黑体" w:eastAsia="黑体"/>
          <w:position w:val="-6"/>
          <w:sz w:val="30"/>
          <w:szCs w:val="30"/>
        </w:rPr>
        <w:t>年</w:t>
      </w:r>
      <w:r>
        <w:rPr>
          <w:rFonts w:hint="eastAsia" w:ascii="黑体" w:eastAsia="黑体"/>
          <w:position w:val="-6"/>
          <w:sz w:val="30"/>
          <w:szCs w:val="30"/>
          <w:lang w:val="en-US" w:eastAsia="zh-CN"/>
        </w:rPr>
        <w:t>05</w:t>
      </w:r>
      <w:r>
        <w:rPr>
          <w:rFonts w:hint="eastAsia" w:ascii="黑体" w:eastAsia="黑体"/>
          <w:position w:val="-6"/>
          <w:sz w:val="30"/>
          <w:szCs w:val="30"/>
        </w:rPr>
        <w:t>月</w:t>
      </w:r>
    </w:p>
    <w:p w14:paraId="206EEC0A">
      <w:pPr>
        <w:widowControl/>
        <w:spacing w:line="240" w:lineRule="auto"/>
        <w:ind w:firstLine="0" w:firstLineChars="0"/>
        <w:jc w:val="left"/>
        <w:rPr>
          <w:rFonts w:ascii="黑体" w:eastAsia="黑体"/>
          <w:sz w:val="44"/>
        </w:rPr>
      </w:pPr>
      <w:r>
        <w:rPr>
          <w:rFonts w:ascii="黑体" w:eastAsia="黑体"/>
          <w:sz w:val="44"/>
        </w:rPr>
        <w:br w:type="page"/>
      </w:r>
    </w:p>
    <w:p w14:paraId="4F6CC1C3">
      <w:pPr>
        <w:widowControl/>
        <w:spacing w:line="240" w:lineRule="auto"/>
        <w:ind w:firstLine="0" w:firstLineChars="0"/>
        <w:jc w:val="left"/>
        <w:rPr>
          <w:rFonts w:ascii="宋体" w:cs="宋体"/>
          <w:b/>
          <w:bCs/>
          <w:sz w:val="32"/>
          <w:szCs w:val="32"/>
        </w:rPr>
      </w:pPr>
    </w:p>
    <w:p w14:paraId="643ADFDE">
      <w:pPr>
        <w:spacing w:line="360" w:lineRule="auto"/>
        <w:ind w:firstLine="0" w:firstLineChars="0"/>
        <w:jc w:val="center"/>
        <w:rPr>
          <w:rFonts w:ascii="黑体" w:eastAsia="黑体"/>
          <w:b/>
          <w:bCs/>
          <w:sz w:val="32"/>
          <w:szCs w:val="32"/>
        </w:rPr>
      </w:pPr>
      <w:bookmarkStart w:id="6" w:name="_Toc223595379"/>
      <w:r>
        <w:rPr>
          <w:rFonts w:hint="eastAsia" w:ascii="黑体" w:eastAsia="黑体"/>
          <w:b/>
          <w:bCs/>
          <w:sz w:val="32"/>
          <w:szCs w:val="32"/>
        </w:rPr>
        <w:t>本科生毕业论文(设计)的原创性声明</w:t>
      </w:r>
      <w:bookmarkEnd w:id="6"/>
    </w:p>
    <w:p w14:paraId="238D394A">
      <w:pPr>
        <w:pStyle w:val="54"/>
      </w:pPr>
      <w:r>
        <w:rPr>
          <w:rFonts w:hint="eastAsia"/>
        </w:rPr>
        <w:t>本人声明：所呈交的本科毕业论文</w:t>
      </w:r>
      <w:r>
        <w:t>(设计)</w:t>
      </w:r>
      <w:r>
        <w:rPr>
          <w:rFonts w:hint="eastAsia"/>
        </w:rPr>
        <w:t>是我个人在导师指导下独立进行的研究工作及取得的研究结果。尽我所知，除了文中特别加以标注和致谢的地方外，论文中不包含其他人已经发表或撰写过的研究结果，也不包含其他人和自己本人已获得西北农林科技大学或其他教育机构的学位或证书而使用过的材料。与我一同工作的同事对本研究所做的任何贡献均已在论文的致谢中作了明确的说明并表示了谢意。如违反此声明，一切后果与法律责任均由本人承担。</w:t>
      </w:r>
    </w:p>
    <w:p w14:paraId="6EC407D7">
      <w:pPr>
        <w:pStyle w:val="55"/>
      </w:pPr>
      <w:r>
        <w:rPr>
          <w:rFonts w:hint="eastAsia"/>
        </w:rPr>
        <w:t>本科生签名：　　　　　　</w:t>
      </w:r>
      <w:r>
        <w:tab/>
      </w:r>
      <w:r>
        <w:rPr>
          <w:rFonts w:hint="eastAsia"/>
        </w:rPr>
        <w:t>时间：　　　年　　月　　日</w:t>
      </w:r>
    </w:p>
    <w:p w14:paraId="6DFC81D4">
      <w:pPr>
        <w:ind w:firstLine="0" w:firstLineChars="0"/>
        <w:jc w:val="center"/>
        <w:rPr>
          <w:rFonts w:ascii="宋体"/>
          <w:b/>
          <w:bCs/>
        </w:rPr>
      </w:pPr>
    </w:p>
    <w:p w14:paraId="51EBB3C7">
      <w:pPr>
        <w:ind w:firstLine="0" w:firstLineChars="0"/>
        <w:jc w:val="center"/>
        <w:rPr>
          <w:rFonts w:ascii="宋体"/>
          <w:b/>
          <w:bCs/>
        </w:rPr>
      </w:pPr>
    </w:p>
    <w:p w14:paraId="40366B32">
      <w:pPr>
        <w:ind w:firstLine="0" w:firstLineChars="0"/>
        <w:jc w:val="center"/>
        <w:rPr>
          <w:rFonts w:ascii="宋体"/>
          <w:b/>
          <w:bCs/>
        </w:rPr>
      </w:pPr>
    </w:p>
    <w:p w14:paraId="3DF8F25A">
      <w:pPr>
        <w:ind w:firstLine="0" w:firstLineChars="0"/>
        <w:jc w:val="center"/>
        <w:rPr>
          <w:rFonts w:ascii="宋体"/>
          <w:b/>
          <w:bCs/>
        </w:rPr>
      </w:pPr>
    </w:p>
    <w:p w14:paraId="1C0B47B6">
      <w:pPr>
        <w:spacing w:line="360" w:lineRule="auto"/>
        <w:ind w:firstLine="0" w:firstLineChars="0"/>
        <w:jc w:val="center"/>
        <w:rPr>
          <w:rFonts w:ascii="黑体" w:eastAsia="黑体"/>
          <w:b/>
          <w:bCs/>
          <w:sz w:val="32"/>
          <w:szCs w:val="32"/>
        </w:rPr>
      </w:pPr>
      <w:bookmarkStart w:id="7" w:name="_Toc223595380"/>
      <w:r>
        <w:rPr>
          <w:rFonts w:hint="eastAsia" w:ascii="黑体" w:eastAsia="黑体"/>
          <w:b/>
          <w:bCs/>
          <w:sz w:val="32"/>
          <w:szCs w:val="32"/>
        </w:rPr>
        <w:t>本科生毕业论文</w:t>
      </w:r>
      <w:r>
        <w:rPr>
          <w:rFonts w:ascii="黑体" w:eastAsia="黑体"/>
          <w:b/>
          <w:bCs/>
          <w:sz w:val="32"/>
          <w:szCs w:val="32"/>
        </w:rPr>
        <w:t>(</w:t>
      </w:r>
      <w:r>
        <w:rPr>
          <w:rFonts w:hint="eastAsia" w:ascii="黑体" w:eastAsia="黑体"/>
          <w:b/>
          <w:bCs/>
          <w:sz w:val="32"/>
          <w:szCs w:val="32"/>
        </w:rPr>
        <w:t>设计</w:t>
      </w:r>
      <w:r>
        <w:rPr>
          <w:rFonts w:ascii="黑体" w:eastAsia="黑体"/>
          <w:b/>
          <w:bCs/>
          <w:sz w:val="32"/>
          <w:szCs w:val="32"/>
        </w:rPr>
        <w:t>)</w:t>
      </w:r>
      <w:r>
        <w:rPr>
          <w:rFonts w:hint="eastAsia" w:ascii="黑体" w:eastAsia="黑体"/>
          <w:b/>
          <w:bCs/>
          <w:sz w:val="32"/>
          <w:szCs w:val="32"/>
        </w:rPr>
        <w:t>的使用授权说明</w:t>
      </w:r>
      <w:bookmarkEnd w:id="7"/>
    </w:p>
    <w:p w14:paraId="3FB5D1A3">
      <w:pPr>
        <w:pStyle w:val="54"/>
      </w:pPr>
      <w:r>
        <w:rPr>
          <w:rFonts w:hint="eastAsia"/>
        </w:rPr>
        <w:t>本毕业论文</w:t>
      </w:r>
      <w:r>
        <w:t>(设计)</w:t>
      </w:r>
      <w:r>
        <w:rPr>
          <w:rFonts w:hint="eastAsia"/>
        </w:rPr>
        <w:t>的知识产权归属西北农林科技大学。本人同意西北农林科技大学保存或向国家有关部门或机构送交论文的纸质版和电子版，允许论文被查阅和借阅。</w:t>
      </w:r>
    </w:p>
    <w:p w14:paraId="76D47825">
      <w:pPr>
        <w:pStyle w:val="54"/>
      </w:pPr>
      <w:r>
        <w:rPr>
          <w:rFonts w:hint="eastAsia"/>
        </w:rPr>
        <w:t>本人保证，在毕业离开西北农林科技大学后，发表或者使用本毕业论文</w:t>
      </w:r>
      <w:r>
        <w:t>(设计)</w:t>
      </w:r>
      <w:r>
        <w:rPr>
          <w:rFonts w:hint="eastAsia"/>
        </w:rPr>
        <w:t>及其相关的工作成果时，将以西北农林科技大学为第一署名单位，如有违反，愿意按《中华人民共和国著作权法》等有关规定接受处理并承担法律责任。</w:t>
      </w:r>
    </w:p>
    <w:p w14:paraId="2F457219">
      <w:pPr>
        <w:pStyle w:val="54"/>
      </w:pPr>
      <w:r>
        <w:rPr>
          <w:rFonts w:hint="eastAsia"/>
        </w:rPr>
        <w:t>任何收存和保管本论文各种版本的其他单位和个人</w:t>
      </w:r>
      <w:r>
        <w:t>(包括作者本人)</w:t>
      </w:r>
      <w:r>
        <w:rPr>
          <w:rFonts w:hint="eastAsia"/>
        </w:rPr>
        <w:t>未经本论文作者的导师同意，不得有对本论文进行复制、修改、发行、出租、改编等侵犯著作权的行为，否则，按违背《中华人民共和国著作权法》等有关规定处理并追究法律责任。</w:t>
      </w:r>
    </w:p>
    <w:p w14:paraId="4C215269">
      <w:pPr>
        <w:pStyle w:val="55"/>
      </w:pPr>
      <w:r>
        <w:rPr>
          <w:rFonts w:hint="eastAsia"/>
        </w:rPr>
        <w:t>本科生签名：　　　　　　</w:t>
      </w:r>
      <w:r>
        <w:tab/>
      </w:r>
      <w:r>
        <w:rPr>
          <w:rFonts w:hint="eastAsia"/>
        </w:rPr>
        <w:t>时间：　　　年　　月　　日</w:t>
      </w:r>
    </w:p>
    <w:p w14:paraId="4FA487A6">
      <w:pPr>
        <w:pStyle w:val="55"/>
      </w:pPr>
      <w:r>
        <w:rPr>
          <w:rFonts w:hint="eastAsia"/>
        </w:rPr>
        <w:t>指导教师签名：　　　　　　</w:t>
      </w:r>
      <w:r>
        <w:tab/>
      </w:r>
      <w:r>
        <w:rPr>
          <w:rFonts w:hint="eastAsia"/>
        </w:rPr>
        <w:t>时间：　　　年　　月　　日</w:t>
      </w:r>
    </w:p>
    <w:p w14:paraId="21ECAE81">
      <w:pPr>
        <w:spacing w:line="400" w:lineRule="atLeast"/>
        <w:rPr>
          <w:rFonts w:ascii="黑体" w:eastAsia="黑体"/>
          <w:sz w:val="30"/>
        </w:rPr>
      </w:pPr>
      <w:r>
        <w:rPr>
          <w:rFonts w:ascii="宋体"/>
        </w:rPr>
        <w:br w:type="page"/>
      </w:r>
    </w:p>
    <w:p w14:paraId="7FC1DDE4">
      <w:pPr>
        <w:spacing w:before="600" w:after="120" w:line="240" w:lineRule="auto"/>
        <w:ind w:firstLine="0" w:firstLineChars="0"/>
        <w:jc w:val="left"/>
        <w:sectPr>
          <w:headerReference r:id="rId5" w:type="default"/>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bookmarkEnd w:id="0"/>
    <w:bookmarkEnd w:id="1"/>
    <w:bookmarkEnd w:id="2"/>
    <w:bookmarkEnd w:id="3"/>
    <w:bookmarkEnd w:id="4"/>
    <w:bookmarkEnd w:id="5"/>
    <w:p w14:paraId="5CE180B9">
      <w:pPr>
        <w:pStyle w:val="2"/>
        <w:spacing w:before="480" w:after="240"/>
      </w:pPr>
      <w:bookmarkStart w:id="8" w:name="_Toc223595381"/>
      <w:bookmarkStart w:id="9" w:name="_Toc18911"/>
      <w:r>
        <w:rPr>
          <w:rFonts w:hint="eastAsia"/>
        </w:rPr>
        <w:t>摘要</w:t>
      </w:r>
      <w:bookmarkEnd w:id="8"/>
      <w:bookmarkEnd w:id="9"/>
    </w:p>
    <w:p w14:paraId="4CC37660">
      <w:pPr>
        <w:rPr>
          <w:rFonts w:hint="eastAsia"/>
          <w:lang w:val="en-US" w:eastAsia="zh-CN"/>
        </w:rPr>
      </w:pPr>
      <w:r>
        <w:rPr>
          <w:lang w:val="en-US" w:eastAsia="zh-CN"/>
        </w:rPr>
        <w:t>随着农业</w:t>
      </w:r>
      <w:r>
        <w:rPr>
          <w:rFonts w:hint="eastAsia"/>
          <w:lang w:val="en-US" w:eastAsia="zh-CN"/>
        </w:rPr>
        <w:t>信息化与智能化的持续推进</w:t>
      </w:r>
      <w:r>
        <w:rPr>
          <w:lang w:val="en-US" w:eastAsia="zh-CN"/>
        </w:rPr>
        <w:t>，农作物图像识别任务对模型精度和训练效率提出了更高要求。在实际边缘农业场景中，受网络传输开销、数据隐私受限及终端数据异构等因素制约，多源农作物图像数据难以集中建模与共享。联邦学习为解决"数据孤岛"提供了可行途径，但非独立同分布（Non-IID）数据条件下传统FedAvg算法易出现客户端漂移，边缘终端样本稀疏进一步使得模型收敛困难。针对上述问题，本文提出一种基于联邦学习协同训练的农作物图像识别研究方法。算法层面设计动态近端约束衰减机制，有效平抑Non-IID数据引发的模型漂移的同时保证模型充分学习特征；数据层面引入ImageNet预训练权重迁移并在微调时冻结浅层参数，结合Mixup数据增强改善小样本过拟合风险。系统以MobileNetV2及ResNet18为主干网络，搭建完整的联邦协同训练流程。实验在</w:t>
      </w:r>
      <w:r>
        <w:rPr>
          <w:rFonts w:hint="eastAsia"/>
          <w:lang w:val="en-US" w:eastAsia="zh-CN"/>
        </w:rPr>
        <w:t>CIFAR-10</w:t>
      </w:r>
      <w:r>
        <w:rPr>
          <w:lang w:val="en-US" w:eastAsia="zh-CN"/>
        </w:rPr>
        <w:t>数据集上独立验证了动态近端约束衰减机制的算法有效性，FedAvg基准准确率为69.84%，引入固定近端约束后提升至71.74%，进一步采用动态近端约束衰减提升至74.59%。在农作物数据集上的消融实验结果表明，ResNet18模型下FedProx完整方案准确率达86.62%，较无预训练及数据增强的FedAvg基线（62.12%）提升了24.5个百分点，MobileNetV2最高准确率达90.33%，各组件均有正向贡献。最后，本文基于PyQt5开发了可视化协同训练系统，集联邦训练监控与农作物图像分类识别功能于一体，为农业边缘场景下的隐私保护型图像识别提供了实现参考。</w:t>
      </w:r>
    </w:p>
    <w:p w14:paraId="1D2954AC">
      <w:pPr>
        <w:rPr>
          <w:rFonts w:hint="default"/>
          <w:lang w:val="en-US" w:eastAsia="zh-CN"/>
        </w:rPr>
      </w:pPr>
    </w:p>
    <w:p w14:paraId="01C53458">
      <w:pPr>
        <w:pStyle w:val="59"/>
        <w:rPr>
          <w:rFonts w:eastAsia="宋体"/>
          <w:b/>
          <w:bCs/>
          <w:lang w:val="en-US" w:eastAsia="zh-CN"/>
        </w:rPr>
      </w:pPr>
      <w:r>
        <w:rPr>
          <w:b/>
        </w:rPr>
        <w:t>关键词：</w:t>
      </w:r>
      <w:bookmarkStart w:id="10" w:name="_Toc355361238"/>
      <w:bookmarkStart w:id="11" w:name="_Toc355274224"/>
      <w:bookmarkStart w:id="12" w:name="_Toc355614274"/>
      <w:bookmarkStart w:id="13" w:name="_Toc355204233"/>
      <w:bookmarkStart w:id="14" w:name="_Toc355274958"/>
      <w:bookmarkStart w:id="15" w:name="_Toc355807472"/>
      <w:r>
        <w:rPr>
          <w:rFonts w:hint="eastAsia"/>
          <w:b/>
          <w:bCs/>
          <w:lang w:val="en-US" w:eastAsia="zh-CN"/>
        </w:rPr>
        <w:t>联邦学习;Non-IID;农作物图像识别;动态近端约束衰减;预训练迁移</w:t>
      </w:r>
    </w:p>
    <w:p w14:paraId="5FFDD546">
      <w:pPr>
        <w:ind w:left="0" w:firstLine="0" w:firstLineChars="0"/>
      </w:pPr>
    </w:p>
    <w:p w14:paraId="7DF9C8B9">
      <w:pPr>
        <w:ind w:left="0" w:firstLine="0" w:firstLineChars="0"/>
        <w:sectPr>
          <w:headerReference r:id="rId6" w:type="default"/>
          <w:footerReference r:id="rId8" w:type="default"/>
          <w:headerReference r:id="rId7" w:type="even"/>
          <w:footerReference r:id="rId9" w:type="even"/>
          <w:pgSz w:w="11906" w:h="16838"/>
          <w:pgMar w:top="1701" w:right="1474" w:bottom="1417" w:left="1474" w:header="1134" w:footer="992" w:gutter="0"/>
          <w:pgBorders>
            <w:top w:val="none" w:sz="0" w:space="0"/>
            <w:left w:val="none" w:sz="0" w:space="0"/>
            <w:bottom w:val="none" w:sz="0" w:space="0"/>
            <w:right w:val="none" w:sz="0" w:space="0"/>
          </w:pgBorders>
          <w:pgNumType w:fmt="upperRoman" w:start="1"/>
          <w:cols w:space="720" w:num="1"/>
          <w:docGrid w:linePitch="326" w:charSpace="0"/>
        </w:sectPr>
      </w:pPr>
    </w:p>
    <w:bookmarkEnd w:id="10"/>
    <w:bookmarkEnd w:id="11"/>
    <w:bookmarkEnd w:id="12"/>
    <w:bookmarkEnd w:id="13"/>
    <w:bookmarkEnd w:id="14"/>
    <w:bookmarkEnd w:id="15"/>
    <w:p w14:paraId="49BB5683">
      <w:pPr>
        <w:pStyle w:val="2"/>
        <w:spacing w:before="480" w:after="240"/>
      </w:pPr>
      <w:bookmarkStart w:id="16" w:name="_Toc27222"/>
      <w:bookmarkStart w:id="17" w:name="_Toc223595382"/>
      <w:r>
        <w:rPr>
          <w:rFonts w:hint="eastAsia"/>
        </w:rPr>
        <w:t>ABSTRAC</w:t>
      </w:r>
      <w:r>
        <w:t>T</w:t>
      </w:r>
      <w:bookmarkEnd w:id="16"/>
      <w:bookmarkEnd w:id="17"/>
    </w:p>
    <w:p w14:paraId="6FE352E9">
      <w:pPr>
        <w:rPr>
          <w:rFonts w:hint="eastAsia" w:ascii="Times New Roman" w:hAnsi="Times New Roman" w:eastAsia="宋体" w:cs="Times New Roman"/>
        </w:rPr>
      </w:pPr>
      <w:r>
        <w:rPr>
          <w:rFonts w:hint="eastAsia" w:ascii="Times New Roman" w:hAnsi="Times New Roman" w:eastAsia="宋体" w:cs="Times New Roman"/>
        </w:rPr>
        <w:t xml:space="preserve">With the continuous advancement of agricultural informatization and intelligentization, crop image recognition tasks demand higher model accuracy and training efficiency. In actual edge agriculture scenarios, due to factors such as network transmission overhead, data privacy constraints, and heterogeneous terminal data, it is difficult to centrally model and share multi-source crop image data. Federated learning provides a feasible way to solve the "data silo" problem, but the traditional FedAvg algorithm is prone to client drift under non-independent and identically distributed (Non-IID) data conditions, and the sparse samples of edge terminals further make model convergence difficult. To address the above problems, this paper proposes a crop image recognition research method based on federated learning collaborative training. At the algorithm level, a dynamic proximal constraint decay mechanism is designed to effectively suppress model drift caused by Non-IID data while ensuring that the model fully learns features; at the data level, ImageNet pre-trained weight transfer is introduced and shallow parameters are frozen during fine-tuning, combined with Mixup data enhancement to improve the risk of overfitting with small samples. The system uses MobileNetV2 and ResNet18 as the backbone network to build a complete federated collaborative training process. Experiments independently validated the effectiveness of the dynamic proximal constraint decay mechanism on the </w:t>
      </w:r>
      <w:r>
        <w:rPr>
          <w:rFonts w:hint="eastAsia" w:cs="Times New Roman"/>
          <w:lang w:eastAsia="zh-CN"/>
        </w:rPr>
        <w:t>CIFAR-10</w:t>
      </w:r>
      <w:r>
        <w:rPr>
          <w:rFonts w:hint="eastAsia" w:ascii="Times New Roman" w:hAnsi="Times New Roman" w:eastAsia="宋体" w:cs="Times New Roman"/>
        </w:rPr>
        <w:t xml:space="preserve"> dataset. The FedAvg baseline accuracy was 69.84%, which improved to 71.74% after introducing fixed proximal constraints, and further improved to 74.59% by using dynamic proximal constraint decay. Ablation experiments on crop datasets showed that the FedProx complete solution achieved an accuracy of 86.62% under the ResNet18 model, a 24.5 percentage point improvement over the FedAvg baseline (62.12%) without pre-training and data augmentation. The highest accuracy on MobileNetV2 reached 90.33%, with each component contributing positively. Finally, a visual collaborative training system was developed based on PyQt5, integrating federated training monitoring and crop image classification and recognition functions, providing a practical reference for privacy-preserving crop image recognition in agricultural edge scenarios.</w:t>
      </w:r>
    </w:p>
    <w:p w14:paraId="79B3A792">
      <w:pPr>
        <w:rPr>
          <w:rFonts w:hint="eastAsia" w:ascii="Times New Roman" w:hAnsi="Times New Roman" w:eastAsia="宋体" w:cs="Times New Roman"/>
        </w:rPr>
      </w:pPr>
    </w:p>
    <w:p w14:paraId="0F4D5FA0">
      <w:pPr>
        <w:pStyle w:val="59"/>
        <w:bidi w:val="0"/>
        <w:rPr>
          <w:color w:val="000000"/>
          <w:sz w:val="28"/>
          <w:szCs w:val="28"/>
        </w:rPr>
      </w:pPr>
      <w:r>
        <w:rPr>
          <w:rFonts w:ascii="Times New Roman" w:hAnsi="Times New Roman" w:eastAsia="宋体" w:cs="Times New Roman"/>
          <w:b/>
          <w:bCs/>
        </w:rPr>
        <w:t xml:space="preserve">KEY WORDS: </w:t>
      </w:r>
      <w:r>
        <w:rPr>
          <w:rFonts w:hint="eastAsia" w:ascii="Times New Roman" w:hAnsi="Times New Roman" w:eastAsia="宋体" w:cs="Times New Roman"/>
          <w:b/>
          <w:bCs/>
        </w:rPr>
        <w:t>Federated learning; Non-IID; Crop image recognition; Dynamic proximal constraint decay; Pre-trained transfer learning</w:t>
      </w:r>
    </w:p>
    <w:p w14:paraId="56BE4578">
      <w:pPr>
        <w:rPr>
          <w:color w:val="000000"/>
          <w:sz w:val="28"/>
          <w:szCs w:val="28"/>
        </w:rPr>
        <w:sectPr>
          <w:headerReference r:id="rId10" w:type="default"/>
          <w:footerReference r:id="rId12" w:type="default"/>
          <w:headerReference r:id="rId11" w:type="even"/>
          <w:footerReference r:id="rId13" w:type="even"/>
          <w:pgSz w:w="11906" w:h="16838"/>
          <w:pgMar w:top="1701" w:right="1474" w:bottom="1418" w:left="1474" w:header="1134" w:footer="992" w:gutter="0"/>
          <w:pgBorders>
            <w:top w:val="none" w:sz="0" w:space="0"/>
            <w:left w:val="none" w:sz="0" w:space="0"/>
            <w:bottom w:val="none" w:sz="0" w:space="0"/>
            <w:right w:val="none" w:sz="0" w:space="0"/>
          </w:pgBorders>
          <w:pgNumType w:fmt="upperRoman"/>
          <w:cols w:space="720" w:num="1"/>
          <w:docGrid w:linePitch="326" w:charSpace="0"/>
        </w:sectPr>
      </w:pPr>
    </w:p>
    <w:p w14:paraId="22E1606B">
      <w:pPr>
        <w:pStyle w:val="2"/>
        <w:bidi w:val="0"/>
        <w:rPr>
          <w:lang w:val="zh-CN"/>
        </w:rPr>
      </w:pPr>
      <w:bookmarkStart w:id="18" w:name="_Toc1026"/>
      <w:r>
        <w:rPr>
          <w:rFonts w:hint="eastAsia"/>
          <w:lang w:val="en-US" w:eastAsia="zh-CN"/>
        </w:rPr>
        <w:t>目次</w:t>
      </w:r>
      <w:bookmarkEnd w:id="18"/>
    </w:p>
    <w:p w14:paraId="4B402A95">
      <w:pPr>
        <w:pStyle w:val="24"/>
        <w:tabs>
          <w:tab w:val="right" w:leader="dot" w:pos="8958"/>
          <w:tab w:val="clear" w:pos="8777"/>
        </w:tabs>
      </w:pPr>
      <w:r>
        <w:fldChar w:fldCharType="begin"/>
      </w:r>
      <w:r>
        <w:instrText xml:space="preserve"> TOC \o "2-3" \h \z \t "标题 1,1" </w:instrText>
      </w:r>
      <w:r>
        <w:fldChar w:fldCharType="separate"/>
      </w:r>
      <w:r>
        <w:fldChar w:fldCharType="begin"/>
      </w:r>
      <w:r>
        <w:instrText xml:space="preserve"> HYPERLINK \l _Toc18911 </w:instrText>
      </w:r>
      <w:r>
        <w:fldChar w:fldCharType="separate"/>
      </w:r>
      <w:r>
        <w:rPr>
          <w:rFonts w:hint="eastAsia"/>
        </w:rPr>
        <w:t>摘要</w:t>
      </w:r>
      <w:r>
        <w:tab/>
      </w:r>
      <w:r>
        <w:fldChar w:fldCharType="begin"/>
      </w:r>
      <w:r>
        <w:instrText xml:space="preserve"> PAGEREF _Toc18911 \h </w:instrText>
      </w:r>
      <w:r>
        <w:fldChar w:fldCharType="separate"/>
      </w:r>
      <w:r>
        <w:t>I</w:t>
      </w:r>
      <w:r>
        <w:fldChar w:fldCharType="end"/>
      </w:r>
      <w:r>
        <w:fldChar w:fldCharType="end"/>
      </w:r>
    </w:p>
    <w:p w14:paraId="796B8F53">
      <w:pPr>
        <w:pStyle w:val="24"/>
        <w:tabs>
          <w:tab w:val="right" w:leader="dot" w:pos="8958"/>
          <w:tab w:val="clear" w:pos="8777"/>
        </w:tabs>
      </w:pPr>
      <w:r>
        <w:fldChar w:fldCharType="begin"/>
      </w:r>
      <w:r>
        <w:instrText xml:space="preserve"> HYPERLINK \l _Toc27222 </w:instrText>
      </w:r>
      <w:r>
        <w:fldChar w:fldCharType="separate"/>
      </w:r>
      <w:r>
        <w:rPr>
          <w:rFonts w:hint="eastAsia"/>
        </w:rPr>
        <w:t>ABSTRAC</w:t>
      </w:r>
      <w:r>
        <w:t>T</w:t>
      </w:r>
      <w:r>
        <w:tab/>
      </w:r>
      <w:r>
        <w:fldChar w:fldCharType="begin"/>
      </w:r>
      <w:r>
        <w:instrText xml:space="preserve"> PAGEREF _Toc27222 \h </w:instrText>
      </w:r>
      <w:r>
        <w:fldChar w:fldCharType="separate"/>
      </w:r>
      <w:r>
        <w:t>II</w:t>
      </w:r>
      <w:r>
        <w:fldChar w:fldCharType="end"/>
      </w:r>
      <w:r>
        <w:fldChar w:fldCharType="end"/>
      </w:r>
    </w:p>
    <w:p w14:paraId="5B0DBCCA">
      <w:pPr>
        <w:pStyle w:val="24"/>
        <w:tabs>
          <w:tab w:val="right" w:leader="dot" w:pos="8958"/>
          <w:tab w:val="clear" w:pos="8777"/>
        </w:tabs>
      </w:pPr>
      <w:r>
        <w:fldChar w:fldCharType="begin"/>
      </w:r>
      <w:r>
        <w:instrText xml:space="preserve"> HYPERLINK \l _Toc1026 </w:instrText>
      </w:r>
      <w:r>
        <w:fldChar w:fldCharType="separate"/>
      </w:r>
      <w:r>
        <w:rPr>
          <w:rFonts w:hint="eastAsia"/>
          <w:lang w:val="en-US" w:eastAsia="zh-CN"/>
        </w:rPr>
        <w:t>目次</w:t>
      </w:r>
      <w:r>
        <w:tab/>
      </w:r>
      <w:r>
        <w:fldChar w:fldCharType="begin"/>
      </w:r>
      <w:r>
        <w:instrText xml:space="preserve"> PAGEREF _Toc1026 \h </w:instrText>
      </w:r>
      <w:r>
        <w:fldChar w:fldCharType="separate"/>
      </w:r>
      <w:r>
        <w:t>III</w:t>
      </w:r>
      <w:r>
        <w:fldChar w:fldCharType="end"/>
      </w:r>
      <w:r>
        <w:fldChar w:fldCharType="end"/>
      </w:r>
    </w:p>
    <w:p w14:paraId="1307E206">
      <w:pPr>
        <w:pStyle w:val="24"/>
        <w:tabs>
          <w:tab w:val="right" w:leader="dot" w:pos="8958"/>
          <w:tab w:val="clear" w:pos="8777"/>
        </w:tabs>
      </w:pPr>
      <w:r>
        <w:fldChar w:fldCharType="begin"/>
      </w:r>
      <w:r>
        <w:instrText xml:space="preserve"> HYPERLINK \l _Toc183 </w:instrText>
      </w:r>
      <w:r>
        <w:fldChar w:fldCharType="separate"/>
      </w:r>
      <w:r>
        <w:rPr>
          <w:rFonts w:hint="eastAsia"/>
        </w:rPr>
        <w:t>主要</w:t>
      </w:r>
      <w:r>
        <w:t>符号</w:t>
      </w:r>
      <w:r>
        <w:rPr>
          <w:rFonts w:hint="eastAsia"/>
        </w:rPr>
        <w:t>注释</w:t>
      </w:r>
      <w:r>
        <w:t>表</w:t>
      </w:r>
      <w:r>
        <w:tab/>
      </w:r>
      <w:r>
        <w:fldChar w:fldCharType="begin"/>
      </w:r>
      <w:r>
        <w:instrText xml:space="preserve"> PAGEREF _Toc183 \h </w:instrText>
      </w:r>
      <w:r>
        <w:fldChar w:fldCharType="separate"/>
      </w:r>
      <w:r>
        <w:t>V</w:t>
      </w:r>
      <w:r>
        <w:fldChar w:fldCharType="end"/>
      </w:r>
      <w:r>
        <w:fldChar w:fldCharType="end"/>
      </w:r>
    </w:p>
    <w:p w14:paraId="3D7F880F">
      <w:pPr>
        <w:pStyle w:val="24"/>
        <w:tabs>
          <w:tab w:val="right" w:leader="dot" w:pos="8958"/>
          <w:tab w:val="clear" w:pos="8777"/>
        </w:tabs>
      </w:pPr>
      <w:r>
        <w:fldChar w:fldCharType="begin"/>
      </w:r>
      <w:r>
        <w:instrText xml:space="preserve"> HYPERLINK \l _Toc15513 </w:instrText>
      </w:r>
      <w:r>
        <w:fldChar w:fldCharType="separate"/>
      </w:r>
      <w:r>
        <w:rPr>
          <w:rFonts w:hint="eastAsia"/>
        </w:rPr>
        <w:t>术语表</w:t>
      </w:r>
      <w:r>
        <w:tab/>
      </w:r>
      <w:r>
        <w:fldChar w:fldCharType="begin"/>
      </w:r>
      <w:r>
        <w:instrText xml:space="preserve"> PAGEREF _Toc15513 \h </w:instrText>
      </w:r>
      <w:r>
        <w:fldChar w:fldCharType="separate"/>
      </w:r>
      <w:r>
        <w:t>VI</w:t>
      </w:r>
      <w:r>
        <w:fldChar w:fldCharType="end"/>
      </w:r>
      <w:r>
        <w:fldChar w:fldCharType="end"/>
      </w:r>
    </w:p>
    <w:p w14:paraId="31EB6F00">
      <w:pPr>
        <w:pStyle w:val="24"/>
        <w:tabs>
          <w:tab w:val="right" w:leader="dot" w:pos="8958"/>
          <w:tab w:val="clear" w:pos="8777"/>
        </w:tabs>
      </w:pPr>
      <w:r>
        <w:fldChar w:fldCharType="begin"/>
      </w:r>
      <w:r>
        <w:instrText xml:space="preserve"> HYPERLINK \l _Toc1375 </w:instrText>
      </w:r>
      <w:r>
        <w:fldChar w:fldCharType="separate"/>
      </w:r>
      <w:r>
        <w:rPr>
          <w:rFonts w:ascii="Times New Roman" w:hAnsi="Times New Roman" w:eastAsia="黑体" w:cs="Times New Roman"/>
          <w:kern w:val="2"/>
          <w:szCs w:val="24"/>
          <w:lang w:val="zh-CN" w:eastAsia="zh-CN" w:bidi="ar-SA"/>
        </w:rPr>
        <w:t>第1章 绪论</w:t>
      </w:r>
      <w:r>
        <w:tab/>
      </w:r>
      <w:r>
        <w:fldChar w:fldCharType="begin"/>
      </w:r>
      <w:r>
        <w:instrText xml:space="preserve"> PAGEREF _Toc1375 \h </w:instrText>
      </w:r>
      <w:r>
        <w:fldChar w:fldCharType="separate"/>
      </w:r>
      <w:r>
        <w:t>1</w:t>
      </w:r>
      <w:r>
        <w:fldChar w:fldCharType="end"/>
      </w:r>
      <w:r>
        <w:fldChar w:fldCharType="end"/>
      </w:r>
    </w:p>
    <w:p w14:paraId="7DD64C18">
      <w:pPr>
        <w:pStyle w:val="27"/>
        <w:tabs>
          <w:tab w:val="right" w:leader="dot" w:pos="8958"/>
          <w:tab w:val="clear" w:pos="8777"/>
        </w:tabs>
      </w:pPr>
      <w:r>
        <w:fldChar w:fldCharType="begin"/>
      </w:r>
      <w:r>
        <w:instrText xml:space="preserve"> HYPERLINK \l _Toc15997 </w:instrText>
      </w:r>
      <w:r>
        <w:fldChar w:fldCharType="separate"/>
      </w:r>
      <w:r>
        <w:rPr>
          <w:rFonts w:hint="eastAsia" w:ascii="Times New Roman" w:hAnsi="Times New Roman" w:eastAsia="黑体" w:cs="Times New Roman"/>
          <w:bCs/>
          <w:kern w:val="2"/>
          <w:szCs w:val="32"/>
          <w:lang w:val="zh-CN" w:eastAsia="zh-CN" w:bidi="ar-SA"/>
        </w:rPr>
        <w:t>1.1 选题背景及意义</w:t>
      </w:r>
      <w:r>
        <w:tab/>
      </w:r>
      <w:r>
        <w:fldChar w:fldCharType="begin"/>
      </w:r>
      <w:r>
        <w:instrText xml:space="preserve"> PAGEREF _Toc15997 \h </w:instrText>
      </w:r>
      <w:r>
        <w:fldChar w:fldCharType="separate"/>
      </w:r>
      <w:r>
        <w:t>1</w:t>
      </w:r>
      <w:r>
        <w:fldChar w:fldCharType="end"/>
      </w:r>
      <w:r>
        <w:fldChar w:fldCharType="end"/>
      </w:r>
    </w:p>
    <w:p w14:paraId="24574DBA">
      <w:pPr>
        <w:pStyle w:val="27"/>
        <w:tabs>
          <w:tab w:val="right" w:leader="dot" w:pos="8958"/>
          <w:tab w:val="clear" w:pos="8777"/>
        </w:tabs>
      </w:pPr>
      <w:r>
        <w:fldChar w:fldCharType="begin"/>
      </w:r>
      <w:r>
        <w:instrText xml:space="preserve"> HYPERLINK \l _Toc32449 </w:instrText>
      </w:r>
      <w:r>
        <w:fldChar w:fldCharType="separate"/>
      </w:r>
      <w:r>
        <w:rPr>
          <w:rFonts w:hint="eastAsia" w:ascii="Times New Roman" w:hAnsi="Times New Roman" w:eastAsia="黑体" w:cs="Times New Roman"/>
          <w:bCs/>
          <w:kern w:val="2"/>
          <w:szCs w:val="32"/>
          <w:lang w:val="zh-CN" w:eastAsia="zh-CN" w:bidi="ar-SA"/>
        </w:rPr>
        <w:t>1.2</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国内外研究现状</w:t>
      </w:r>
      <w:r>
        <w:tab/>
      </w:r>
      <w:r>
        <w:fldChar w:fldCharType="begin"/>
      </w:r>
      <w:r>
        <w:instrText xml:space="preserve"> PAGEREF _Toc32449 \h </w:instrText>
      </w:r>
      <w:r>
        <w:fldChar w:fldCharType="separate"/>
      </w:r>
      <w:r>
        <w:t>1</w:t>
      </w:r>
      <w:r>
        <w:fldChar w:fldCharType="end"/>
      </w:r>
      <w:r>
        <w:fldChar w:fldCharType="end"/>
      </w:r>
    </w:p>
    <w:p w14:paraId="09DFBC03">
      <w:pPr>
        <w:pStyle w:val="16"/>
      </w:pPr>
      <w:r>
        <w:fldChar w:fldCharType="begin"/>
      </w:r>
      <w:r>
        <w:instrText xml:space="preserve"> HYPERLINK \l _Toc18763 </w:instrText>
      </w:r>
      <w:r>
        <w:fldChar w:fldCharType="separate"/>
      </w:r>
      <w:r>
        <w:rPr>
          <w:rFonts w:hint="eastAsia" w:ascii="Times New Roman" w:hAnsi="Times New Roman" w:eastAsia="黑体" w:cs="Times New Roman"/>
          <w:kern w:val="2"/>
          <w:szCs w:val="20"/>
          <w:lang w:val="zh-CN" w:eastAsia="zh-CN" w:bidi="ar-SA"/>
        </w:rPr>
        <w:t>1.2.1 联邦学习在农业领域的应用</w:t>
      </w:r>
      <w:r>
        <w:tab/>
      </w:r>
      <w:r>
        <w:fldChar w:fldCharType="begin"/>
      </w:r>
      <w:r>
        <w:instrText xml:space="preserve"> PAGEREF _Toc18763 \h </w:instrText>
      </w:r>
      <w:r>
        <w:fldChar w:fldCharType="separate"/>
      </w:r>
      <w:r>
        <w:t>1</w:t>
      </w:r>
      <w:r>
        <w:fldChar w:fldCharType="end"/>
      </w:r>
      <w:r>
        <w:fldChar w:fldCharType="end"/>
      </w:r>
    </w:p>
    <w:p w14:paraId="771AAA07">
      <w:pPr>
        <w:pStyle w:val="16"/>
      </w:pPr>
      <w:r>
        <w:fldChar w:fldCharType="begin"/>
      </w:r>
      <w:r>
        <w:instrText xml:space="preserve"> HYPERLINK \l _Toc7450 </w:instrText>
      </w:r>
      <w:r>
        <w:fldChar w:fldCharType="separate"/>
      </w:r>
      <w:r>
        <w:rPr>
          <w:rFonts w:hint="eastAsia" w:ascii="Times New Roman" w:hAnsi="Times New Roman" w:eastAsia="黑体" w:cs="Times New Roman"/>
          <w:kern w:val="2"/>
          <w:szCs w:val="20"/>
          <w:lang w:val="zh-CN" w:eastAsia="zh-CN" w:bidi="ar-SA"/>
        </w:rPr>
        <w:t>1.2.2 异构数据下的联邦算法优化</w:t>
      </w:r>
      <w:r>
        <w:tab/>
      </w:r>
      <w:r>
        <w:fldChar w:fldCharType="begin"/>
      </w:r>
      <w:r>
        <w:instrText xml:space="preserve"> PAGEREF _Toc7450 \h </w:instrText>
      </w:r>
      <w:r>
        <w:fldChar w:fldCharType="separate"/>
      </w:r>
      <w:r>
        <w:t>2</w:t>
      </w:r>
      <w:r>
        <w:fldChar w:fldCharType="end"/>
      </w:r>
      <w:r>
        <w:fldChar w:fldCharType="end"/>
      </w:r>
    </w:p>
    <w:p w14:paraId="54DA4BED">
      <w:pPr>
        <w:pStyle w:val="16"/>
      </w:pPr>
      <w:r>
        <w:fldChar w:fldCharType="begin"/>
      </w:r>
      <w:r>
        <w:instrText xml:space="preserve"> HYPERLINK \l _Toc18200 </w:instrText>
      </w:r>
      <w:r>
        <w:fldChar w:fldCharType="separate"/>
      </w:r>
      <w:r>
        <w:rPr>
          <w:rFonts w:hint="eastAsia" w:ascii="Times New Roman" w:hAnsi="Times New Roman" w:eastAsia="黑体" w:cs="Times New Roman"/>
          <w:kern w:val="2"/>
          <w:szCs w:val="20"/>
          <w:lang w:val="zh-CN" w:eastAsia="zh-CN" w:bidi="ar-SA"/>
        </w:rPr>
        <w:t>1.2.3 预训练与迁移学习</w:t>
      </w:r>
      <w:r>
        <w:tab/>
      </w:r>
      <w:r>
        <w:fldChar w:fldCharType="begin"/>
      </w:r>
      <w:r>
        <w:instrText xml:space="preserve"> PAGEREF _Toc18200 \h </w:instrText>
      </w:r>
      <w:r>
        <w:fldChar w:fldCharType="separate"/>
      </w:r>
      <w:r>
        <w:t>2</w:t>
      </w:r>
      <w:r>
        <w:fldChar w:fldCharType="end"/>
      </w:r>
      <w:r>
        <w:fldChar w:fldCharType="end"/>
      </w:r>
    </w:p>
    <w:p w14:paraId="737C4539">
      <w:pPr>
        <w:pStyle w:val="27"/>
        <w:tabs>
          <w:tab w:val="right" w:leader="dot" w:pos="8958"/>
          <w:tab w:val="clear" w:pos="8777"/>
        </w:tabs>
      </w:pPr>
      <w:r>
        <w:fldChar w:fldCharType="begin"/>
      </w:r>
      <w:r>
        <w:instrText xml:space="preserve"> HYPERLINK \l _Toc22987 </w:instrText>
      </w:r>
      <w:r>
        <w:fldChar w:fldCharType="separate"/>
      </w:r>
      <w:r>
        <w:rPr>
          <w:rFonts w:hint="eastAsia" w:ascii="Times New Roman" w:hAnsi="Times New Roman" w:eastAsia="黑体" w:cs="Times New Roman"/>
          <w:bCs/>
          <w:kern w:val="2"/>
          <w:szCs w:val="32"/>
          <w:lang w:val="zh-CN" w:eastAsia="zh-CN" w:bidi="ar-SA"/>
        </w:rPr>
        <w:t>1.3</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研究内容</w:t>
      </w:r>
      <w:r>
        <w:tab/>
      </w:r>
      <w:r>
        <w:fldChar w:fldCharType="begin"/>
      </w:r>
      <w:r>
        <w:instrText xml:space="preserve"> PAGEREF _Toc22987 \h </w:instrText>
      </w:r>
      <w:r>
        <w:fldChar w:fldCharType="separate"/>
      </w:r>
      <w:r>
        <w:t>2</w:t>
      </w:r>
      <w:r>
        <w:fldChar w:fldCharType="end"/>
      </w:r>
      <w:r>
        <w:fldChar w:fldCharType="end"/>
      </w:r>
    </w:p>
    <w:p w14:paraId="72CAB2BD">
      <w:pPr>
        <w:pStyle w:val="16"/>
      </w:pPr>
      <w:r>
        <w:fldChar w:fldCharType="begin"/>
      </w:r>
      <w:r>
        <w:instrText xml:space="preserve"> HYPERLINK \l _Toc11483 </w:instrText>
      </w:r>
      <w:r>
        <w:fldChar w:fldCharType="separate"/>
      </w:r>
      <w:r>
        <w:rPr>
          <w:rFonts w:hint="eastAsia" w:ascii="Times New Roman" w:hAnsi="Times New Roman" w:eastAsia="黑体" w:cs="Times New Roman"/>
          <w:kern w:val="2"/>
          <w:szCs w:val="20"/>
          <w:lang w:val="zh-CN" w:eastAsia="zh-CN" w:bidi="ar-SA"/>
        </w:rPr>
        <w:t>1.3.</w:t>
      </w:r>
      <w:r>
        <w:rPr>
          <w:rFonts w:hint="eastAsia" w:cs="Times New Roman"/>
          <w:kern w:val="2"/>
          <w:szCs w:val="20"/>
          <w:lang w:val="en-US" w:eastAsia="zh-CN" w:bidi="ar-SA"/>
        </w:rPr>
        <w:t>1</w:t>
      </w:r>
      <w:r>
        <w:rPr>
          <w:rFonts w:hint="eastAsia" w:ascii="Times New Roman" w:hAnsi="Times New Roman" w:eastAsia="黑体" w:cs="Times New Roman"/>
          <w:kern w:val="2"/>
          <w:szCs w:val="20"/>
          <w:lang w:val="zh-CN" w:eastAsia="zh-CN" w:bidi="ar-SA"/>
        </w:rPr>
        <w:t xml:space="preserve"> </w:t>
      </w:r>
      <w:r>
        <w:rPr>
          <w:rFonts w:hint="eastAsia" w:cs="Times New Roman"/>
          <w:kern w:val="2"/>
          <w:szCs w:val="20"/>
          <w:lang w:val="en-US" w:eastAsia="zh-CN" w:bidi="ar-SA"/>
        </w:rPr>
        <w:t>轻量化模型选取</w:t>
      </w:r>
      <w:r>
        <w:tab/>
      </w:r>
      <w:r>
        <w:fldChar w:fldCharType="begin"/>
      </w:r>
      <w:r>
        <w:instrText xml:space="preserve"> PAGEREF _Toc11483 \h </w:instrText>
      </w:r>
      <w:r>
        <w:fldChar w:fldCharType="separate"/>
      </w:r>
      <w:r>
        <w:t>2</w:t>
      </w:r>
      <w:r>
        <w:fldChar w:fldCharType="end"/>
      </w:r>
      <w:r>
        <w:fldChar w:fldCharType="end"/>
      </w:r>
    </w:p>
    <w:p w14:paraId="7678D840">
      <w:pPr>
        <w:pStyle w:val="16"/>
      </w:pPr>
      <w:r>
        <w:fldChar w:fldCharType="begin"/>
      </w:r>
      <w:r>
        <w:instrText xml:space="preserve"> HYPERLINK \l _Toc6821 </w:instrText>
      </w:r>
      <w:r>
        <w:fldChar w:fldCharType="separate"/>
      </w:r>
      <w:r>
        <w:rPr>
          <w:rFonts w:hint="eastAsia" w:ascii="Times New Roman" w:hAnsi="Times New Roman" w:eastAsia="黑体" w:cs="Times New Roman"/>
          <w:kern w:val="2"/>
          <w:szCs w:val="20"/>
          <w:lang w:val="zh-CN" w:eastAsia="zh-CN" w:bidi="ar-SA"/>
        </w:rPr>
        <w:t>1.3.</w:t>
      </w:r>
      <w:r>
        <w:rPr>
          <w:rFonts w:hint="eastAsia" w:cs="Times New Roman"/>
          <w:kern w:val="2"/>
          <w:szCs w:val="20"/>
          <w:lang w:val="en-US" w:eastAsia="zh-CN" w:bidi="ar-SA"/>
        </w:rPr>
        <w:t>2</w:t>
      </w:r>
      <w:r>
        <w:rPr>
          <w:rFonts w:hint="eastAsia" w:ascii="Times New Roman" w:hAnsi="Times New Roman" w:eastAsia="黑体" w:cs="Times New Roman"/>
          <w:kern w:val="2"/>
          <w:szCs w:val="20"/>
          <w:lang w:val="zh-CN" w:eastAsia="zh-CN" w:bidi="ar-SA"/>
        </w:rPr>
        <w:t xml:space="preserve"> 联邦训练框架构建与初步验证</w:t>
      </w:r>
      <w:r>
        <w:tab/>
      </w:r>
      <w:r>
        <w:fldChar w:fldCharType="begin"/>
      </w:r>
      <w:r>
        <w:instrText xml:space="preserve"> PAGEREF _Toc6821 \h </w:instrText>
      </w:r>
      <w:r>
        <w:fldChar w:fldCharType="separate"/>
      </w:r>
      <w:r>
        <w:t>3</w:t>
      </w:r>
      <w:r>
        <w:fldChar w:fldCharType="end"/>
      </w:r>
      <w:r>
        <w:fldChar w:fldCharType="end"/>
      </w:r>
    </w:p>
    <w:p w14:paraId="554E6C29">
      <w:pPr>
        <w:pStyle w:val="16"/>
      </w:pPr>
      <w:r>
        <w:fldChar w:fldCharType="begin"/>
      </w:r>
      <w:r>
        <w:instrText xml:space="preserve"> HYPERLINK \l _Toc17159 </w:instrText>
      </w:r>
      <w:r>
        <w:fldChar w:fldCharType="separate"/>
      </w:r>
      <w:r>
        <w:rPr>
          <w:rFonts w:hint="eastAsia" w:ascii="Times New Roman" w:hAnsi="Times New Roman" w:eastAsia="黑体" w:cs="Times New Roman"/>
          <w:kern w:val="2"/>
          <w:szCs w:val="20"/>
          <w:lang w:val="zh-CN" w:eastAsia="zh-CN" w:bidi="ar-SA"/>
        </w:rPr>
        <w:t>1.3.3 联邦聚合策略与动态参数设计</w:t>
      </w:r>
      <w:r>
        <w:tab/>
      </w:r>
      <w:r>
        <w:fldChar w:fldCharType="begin"/>
      </w:r>
      <w:r>
        <w:instrText xml:space="preserve"> PAGEREF _Toc17159 \h </w:instrText>
      </w:r>
      <w:r>
        <w:fldChar w:fldCharType="separate"/>
      </w:r>
      <w:r>
        <w:t>3</w:t>
      </w:r>
      <w:r>
        <w:fldChar w:fldCharType="end"/>
      </w:r>
      <w:r>
        <w:fldChar w:fldCharType="end"/>
      </w:r>
    </w:p>
    <w:p w14:paraId="3F3B9231">
      <w:pPr>
        <w:pStyle w:val="16"/>
      </w:pPr>
      <w:r>
        <w:fldChar w:fldCharType="begin"/>
      </w:r>
      <w:r>
        <w:instrText xml:space="preserve"> HYPERLINK \l _Toc16522 </w:instrText>
      </w:r>
      <w:r>
        <w:fldChar w:fldCharType="separate"/>
      </w:r>
      <w:r>
        <w:rPr>
          <w:rFonts w:hint="eastAsia" w:ascii="Times New Roman" w:hAnsi="Times New Roman" w:eastAsia="黑体" w:cs="Times New Roman"/>
          <w:kern w:val="2"/>
          <w:szCs w:val="20"/>
          <w:lang w:val="zh-CN" w:eastAsia="zh-CN" w:bidi="ar-SA"/>
        </w:rPr>
        <w:t xml:space="preserve">1.3.4 </w:t>
      </w:r>
      <w:r>
        <w:rPr>
          <w:rFonts w:hint="eastAsia" w:cs="Times New Roman"/>
          <w:kern w:val="2"/>
          <w:szCs w:val="20"/>
          <w:lang w:val="en-US" w:eastAsia="zh-CN" w:bidi="ar-SA"/>
        </w:rPr>
        <w:t>预训练与</w:t>
      </w:r>
      <w:r>
        <w:rPr>
          <w:rFonts w:hint="eastAsia" w:ascii="Times New Roman" w:hAnsi="Times New Roman" w:eastAsia="黑体" w:cs="Times New Roman"/>
          <w:kern w:val="2"/>
          <w:szCs w:val="20"/>
          <w:lang w:val="zh-CN" w:eastAsia="zh-CN" w:bidi="ar-SA"/>
        </w:rPr>
        <w:t>Mixup数据增强</w:t>
      </w:r>
      <w:r>
        <w:tab/>
      </w:r>
      <w:r>
        <w:fldChar w:fldCharType="begin"/>
      </w:r>
      <w:r>
        <w:instrText xml:space="preserve"> PAGEREF _Toc16522 \h </w:instrText>
      </w:r>
      <w:r>
        <w:fldChar w:fldCharType="separate"/>
      </w:r>
      <w:r>
        <w:t>3</w:t>
      </w:r>
      <w:r>
        <w:fldChar w:fldCharType="end"/>
      </w:r>
      <w:r>
        <w:fldChar w:fldCharType="end"/>
      </w:r>
    </w:p>
    <w:p w14:paraId="0FE82E46">
      <w:pPr>
        <w:pStyle w:val="16"/>
      </w:pPr>
      <w:r>
        <w:fldChar w:fldCharType="begin"/>
      </w:r>
      <w:r>
        <w:instrText xml:space="preserve"> HYPERLINK \l _Toc16438 </w:instrText>
      </w:r>
      <w:r>
        <w:fldChar w:fldCharType="separate"/>
      </w:r>
      <w:r>
        <w:rPr>
          <w:rFonts w:hint="eastAsia" w:ascii="Times New Roman" w:hAnsi="Times New Roman" w:eastAsia="黑体" w:cs="Times New Roman"/>
          <w:kern w:val="2"/>
          <w:szCs w:val="20"/>
          <w:lang w:val="zh-CN" w:eastAsia="zh-CN" w:bidi="ar-SA"/>
        </w:rPr>
        <w:t>1.3.5 可视化交互系统设计与实现</w:t>
      </w:r>
      <w:r>
        <w:tab/>
      </w:r>
      <w:r>
        <w:fldChar w:fldCharType="begin"/>
      </w:r>
      <w:r>
        <w:instrText xml:space="preserve"> PAGEREF _Toc16438 \h </w:instrText>
      </w:r>
      <w:r>
        <w:fldChar w:fldCharType="separate"/>
      </w:r>
      <w:r>
        <w:t>3</w:t>
      </w:r>
      <w:r>
        <w:fldChar w:fldCharType="end"/>
      </w:r>
      <w:r>
        <w:fldChar w:fldCharType="end"/>
      </w:r>
    </w:p>
    <w:p w14:paraId="3DF18B91">
      <w:pPr>
        <w:pStyle w:val="27"/>
        <w:tabs>
          <w:tab w:val="right" w:leader="dot" w:pos="8958"/>
          <w:tab w:val="clear" w:pos="8777"/>
        </w:tabs>
      </w:pPr>
      <w:r>
        <w:fldChar w:fldCharType="begin"/>
      </w:r>
      <w:r>
        <w:instrText xml:space="preserve"> HYPERLINK \l _Toc1031 </w:instrText>
      </w:r>
      <w:r>
        <w:fldChar w:fldCharType="separate"/>
      </w:r>
      <w:r>
        <w:rPr>
          <w:rFonts w:hint="eastAsia" w:ascii="Times New Roman" w:hAnsi="Times New Roman" w:eastAsia="黑体" w:cs="Times New Roman"/>
          <w:bCs/>
          <w:kern w:val="2"/>
          <w:szCs w:val="32"/>
          <w:lang w:val="zh-CN" w:eastAsia="zh-CN" w:bidi="ar-SA"/>
        </w:rPr>
        <w:t>1.4 研究方法和技术路线</w:t>
      </w:r>
      <w:r>
        <w:tab/>
      </w:r>
      <w:r>
        <w:fldChar w:fldCharType="begin"/>
      </w:r>
      <w:r>
        <w:instrText xml:space="preserve"> PAGEREF _Toc1031 \h </w:instrText>
      </w:r>
      <w:r>
        <w:fldChar w:fldCharType="separate"/>
      </w:r>
      <w:r>
        <w:t>4</w:t>
      </w:r>
      <w:r>
        <w:fldChar w:fldCharType="end"/>
      </w:r>
      <w:r>
        <w:fldChar w:fldCharType="end"/>
      </w:r>
    </w:p>
    <w:p w14:paraId="135D4949">
      <w:pPr>
        <w:pStyle w:val="16"/>
      </w:pPr>
      <w:r>
        <w:fldChar w:fldCharType="begin"/>
      </w:r>
      <w:r>
        <w:instrText xml:space="preserve"> HYPERLINK \l _Toc11720 </w:instrText>
      </w:r>
      <w:r>
        <w:fldChar w:fldCharType="separate"/>
      </w:r>
      <w:r>
        <w:rPr>
          <w:rFonts w:hint="eastAsia" w:ascii="Times New Roman" w:hAnsi="Times New Roman" w:eastAsia="黑体" w:cs="Times New Roman"/>
          <w:kern w:val="2"/>
          <w:szCs w:val="20"/>
          <w:lang w:val="zh-CN" w:eastAsia="zh-CN" w:bidi="ar-SA"/>
        </w:rPr>
        <w:t>1.4.1 研究方法</w:t>
      </w:r>
      <w:r>
        <w:tab/>
      </w:r>
      <w:r>
        <w:fldChar w:fldCharType="begin"/>
      </w:r>
      <w:r>
        <w:instrText xml:space="preserve"> PAGEREF _Toc11720 \h </w:instrText>
      </w:r>
      <w:r>
        <w:fldChar w:fldCharType="separate"/>
      </w:r>
      <w:r>
        <w:t>4</w:t>
      </w:r>
      <w:r>
        <w:fldChar w:fldCharType="end"/>
      </w:r>
      <w:r>
        <w:fldChar w:fldCharType="end"/>
      </w:r>
    </w:p>
    <w:p w14:paraId="3520DA90">
      <w:pPr>
        <w:pStyle w:val="16"/>
      </w:pPr>
      <w:r>
        <w:fldChar w:fldCharType="begin"/>
      </w:r>
      <w:r>
        <w:instrText xml:space="preserve"> HYPERLINK \l _Toc22487 </w:instrText>
      </w:r>
      <w:r>
        <w:fldChar w:fldCharType="separate"/>
      </w:r>
      <w:r>
        <w:rPr>
          <w:rFonts w:hint="eastAsia" w:ascii="Times New Roman" w:hAnsi="Times New Roman" w:eastAsia="黑体" w:cs="Times New Roman"/>
          <w:kern w:val="2"/>
          <w:szCs w:val="20"/>
          <w:lang w:val="zh-CN" w:eastAsia="zh-CN" w:bidi="ar-SA"/>
        </w:rPr>
        <w:t>1.4.2 技术路线</w:t>
      </w:r>
      <w:r>
        <w:tab/>
      </w:r>
      <w:r>
        <w:fldChar w:fldCharType="begin"/>
      </w:r>
      <w:r>
        <w:instrText xml:space="preserve"> PAGEREF _Toc22487 \h </w:instrText>
      </w:r>
      <w:r>
        <w:fldChar w:fldCharType="separate"/>
      </w:r>
      <w:r>
        <w:t>4</w:t>
      </w:r>
      <w:r>
        <w:fldChar w:fldCharType="end"/>
      </w:r>
      <w:r>
        <w:fldChar w:fldCharType="end"/>
      </w:r>
    </w:p>
    <w:p w14:paraId="3DE647B2">
      <w:pPr>
        <w:pStyle w:val="24"/>
        <w:tabs>
          <w:tab w:val="right" w:leader="dot" w:pos="8958"/>
          <w:tab w:val="clear" w:pos="8777"/>
        </w:tabs>
      </w:pPr>
      <w:r>
        <w:fldChar w:fldCharType="begin"/>
      </w:r>
      <w:r>
        <w:instrText xml:space="preserve"> HYPERLINK \l _Toc3815 </w:instrText>
      </w:r>
      <w:r>
        <w:fldChar w:fldCharType="separate"/>
      </w:r>
      <w:r>
        <w:rPr>
          <w:rFonts w:ascii="Times New Roman" w:hAnsi="Times New Roman" w:eastAsia="黑体" w:cs="Times New Roman"/>
          <w:kern w:val="2"/>
          <w:szCs w:val="24"/>
          <w:lang w:val="zh-CN" w:eastAsia="zh-CN" w:bidi="ar-SA"/>
        </w:rPr>
        <w:t>第2章 相关理论基础与技术简介</w:t>
      </w:r>
      <w:r>
        <w:tab/>
      </w:r>
      <w:r>
        <w:fldChar w:fldCharType="begin"/>
      </w:r>
      <w:r>
        <w:instrText xml:space="preserve"> PAGEREF _Toc3815 \h </w:instrText>
      </w:r>
      <w:r>
        <w:fldChar w:fldCharType="separate"/>
      </w:r>
      <w:r>
        <w:t>7</w:t>
      </w:r>
      <w:r>
        <w:fldChar w:fldCharType="end"/>
      </w:r>
      <w:r>
        <w:fldChar w:fldCharType="end"/>
      </w:r>
    </w:p>
    <w:p w14:paraId="612DE3F2">
      <w:pPr>
        <w:pStyle w:val="27"/>
        <w:tabs>
          <w:tab w:val="right" w:leader="dot" w:pos="8958"/>
          <w:tab w:val="clear" w:pos="8777"/>
        </w:tabs>
      </w:pPr>
      <w:r>
        <w:fldChar w:fldCharType="begin"/>
      </w:r>
      <w:r>
        <w:instrText xml:space="preserve"> HYPERLINK \l _Toc2161 </w:instrText>
      </w:r>
      <w:r>
        <w:fldChar w:fldCharType="separate"/>
      </w:r>
      <w:r>
        <w:rPr>
          <w:rFonts w:hint="eastAsia" w:ascii="Times New Roman" w:hAnsi="Times New Roman" w:eastAsia="黑体" w:cs="Times New Roman"/>
          <w:bCs/>
          <w:kern w:val="2"/>
          <w:szCs w:val="32"/>
          <w:lang w:val="zh-CN" w:eastAsia="zh-CN" w:bidi="ar-SA"/>
        </w:rPr>
        <w:t>2.1 联邦学习理论基础</w:t>
      </w:r>
      <w:r>
        <w:tab/>
      </w:r>
      <w:r>
        <w:fldChar w:fldCharType="begin"/>
      </w:r>
      <w:r>
        <w:instrText xml:space="preserve"> PAGEREF _Toc2161 \h </w:instrText>
      </w:r>
      <w:r>
        <w:fldChar w:fldCharType="separate"/>
      </w:r>
      <w:r>
        <w:t>7</w:t>
      </w:r>
      <w:r>
        <w:fldChar w:fldCharType="end"/>
      </w:r>
      <w:r>
        <w:fldChar w:fldCharType="end"/>
      </w:r>
    </w:p>
    <w:p w14:paraId="5570BB41">
      <w:pPr>
        <w:pStyle w:val="16"/>
      </w:pPr>
      <w:r>
        <w:fldChar w:fldCharType="begin"/>
      </w:r>
      <w:r>
        <w:instrText xml:space="preserve"> HYPERLINK \l _Toc17493 </w:instrText>
      </w:r>
      <w:r>
        <w:fldChar w:fldCharType="separate"/>
      </w:r>
      <w:r>
        <w:rPr>
          <w:rFonts w:hint="eastAsia" w:ascii="Times New Roman" w:hAnsi="Times New Roman" w:eastAsia="黑体" w:cs="Times New Roman"/>
          <w:kern w:val="2"/>
          <w:szCs w:val="20"/>
          <w:lang w:val="zh-CN" w:eastAsia="zh-CN" w:bidi="ar-SA"/>
        </w:rPr>
        <w:t>2.1.1 联邦学习架构</w:t>
      </w:r>
      <w:r>
        <w:tab/>
      </w:r>
      <w:r>
        <w:fldChar w:fldCharType="begin"/>
      </w:r>
      <w:r>
        <w:instrText xml:space="preserve"> PAGEREF _Toc17493 \h </w:instrText>
      </w:r>
      <w:r>
        <w:fldChar w:fldCharType="separate"/>
      </w:r>
      <w:r>
        <w:t>7</w:t>
      </w:r>
      <w:r>
        <w:fldChar w:fldCharType="end"/>
      </w:r>
      <w:r>
        <w:fldChar w:fldCharType="end"/>
      </w:r>
    </w:p>
    <w:p w14:paraId="5088D058">
      <w:pPr>
        <w:pStyle w:val="16"/>
      </w:pPr>
      <w:r>
        <w:fldChar w:fldCharType="begin"/>
      </w:r>
      <w:r>
        <w:instrText xml:space="preserve"> HYPERLINK \l _Toc18701 </w:instrText>
      </w:r>
      <w:r>
        <w:fldChar w:fldCharType="separate"/>
      </w:r>
      <w:r>
        <w:rPr>
          <w:rFonts w:hint="eastAsia" w:ascii="Times New Roman" w:hAnsi="Times New Roman" w:eastAsia="黑体" w:cs="Times New Roman"/>
          <w:kern w:val="2"/>
          <w:szCs w:val="20"/>
          <w:lang w:val="zh-CN" w:eastAsia="zh-CN" w:bidi="ar-SA"/>
        </w:rPr>
        <w:t>2.1.2 联邦平均算法</w:t>
      </w:r>
      <w:r>
        <w:tab/>
      </w:r>
      <w:r>
        <w:fldChar w:fldCharType="begin"/>
      </w:r>
      <w:r>
        <w:instrText xml:space="preserve"> PAGEREF _Toc18701 \h </w:instrText>
      </w:r>
      <w:r>
        <w:fldChar w:fldCharType="separate"/>
      </w:r>
      <w:r>
        <w:t>8</w:t>
      </w:r>
      <w:r>
        <w:fldChar w:fldCharType="end"/>
      </w:r>
      <w:r>
        <w:fldChar w:fldCharType="end"/>
      </w:r>
    </w:p>
    <w:p w14:paraId="26779942">
      <w:pPr>
        <w:pStyle w:val="27"/>
        <w:tabs>
          <w:tab w:val="right" w:leader="dot" w:pos="8958"/>
          <w:tab w:val="clear" w:pos="8777"/>
        </w:tabs>
      </w:pPr>
      <w:r>
        <w:fldChar w:fldCharType="begin"/>
      </w:r>
      <w:r>
        <w:instrText xml:space="preserve"> HYPERLINK \l _Toc15336 </w:instrText>
      </w:r>
      <w:r>
        <w:fldChar w:fldCharType="separate"/>
      </w:r>
      <w:r>
        <w:rPr>
          <w:rFonts w:hint="eastAsia" w:ascii="Times New Roman" w:hAnsi="Times New Roman" w:eastAsia="黑体" w:cs="Times New Roman"/>
          <w:bCs/>
          <w:kern w:val="2"/>
          <w:szCs w:val="32"/>
          <w:lang w:val="zh-CN" w:eastAsia="zh-CN" w:bidi="ar-SA"/>
        </w:rPr>
        <w:t>2.</w:t>
      </w:r>
      <w:r>
        <w:rPr>
          <w:rFonts w:hint="eastAsia" w:cs="Times New Roman"/>
          <w:bCs/>
          <w:kern w:val="2"/>
          <w:szCs w:val="32"/>
          <w:lang w:val="en-US" w:eastAsia="zh-CN" w:bidi="ar-SA"/>
        </w:rPr>
        <w:t>2</w:t>
      </w:r>
      <w:r>
        <w:rPr>
          <w:rFonts w:hint="eastAsia" w:ascii="Times New Roman" w:hAnsi="Times New Roman" w:eastAsia="黑体" w:cs="Times New Roman"/>
          <w:bCs/>
          <w:kern w:val="2"/>
          <w:szCs w:val="32"/>
          <w:lang w:val="zh-CN" w:eastAsia="zh-CN" w:bidi="ar-SA"/>
        </w:rPr>
        <w:t xml:space="preserve"> 异构数据环境下的联邦优化</w:t>
      </w:r>
      <w:r>
        <w:tab/>
      </w:r>
      <w:r>
        <w:fldChar w:fldCharType="begin"/>
      </w:r>
      <w:r>
        <w:instrText xml:space="preserve"> PAGEREF _Toc15336 \h </w:instrText>
      </w:r>
      <w:r>
        <w:fldChar w:fldCharType="separate"/>
      </w:r>
      <w:r>
        <w:t>8</w:t>
      </w:r>
      <w:r>
        <w:fldChar w:fldCharType="end"/>
      </w:r>
      <w:r>
        <w:fldChar w:fldCharType="end"/>
      </w:r>
    </w:p>
    <w:p w14:paraId="4D36F201">
      <w:pPr>
        <w:pStyle w:val="16"/>
      </w:pPr>
      <w:r>
        <w:fldChar w:fldCharType="begin"/>
      </w:r>
      <w:r>
        <w:instrText xml:space="preserve"> HYPERLINK \l _Toc8644 </w:instrText>
      </w:r>
      <w:r>
        <w:fldChar w:fldCharType="separate"/>
      </w:r>
      <w:r>
        <w:rPr>
          <w:rFonts w:hint="eastAsia" w:ascii="Times New Roman" w:hAnsi="Times New Roman" w:eastAsia="黑体" w:cs="Times New Roman"/>
          <w:kern w:val="2"/>
          <w:szCs w:val="20"/>
          <w:lang w:val="zh-CN" w:eastAsia="zh-CN" w:bidi="ar-SA"/>
        </w:rPr>
        <w:t>2.</w:t>
      </w:r>
      <w:r>
        <w:rPr>
          <w:rFonts w:hint="eastAsia" w:cs="Times New Roman"/>
          <w:kern w:val="2"/>
          <w:szCs w:val="20"/>
          <w:lang w:val="en-US" w:eastAsia="zh-CN" w:bidi="ar-SA"/>
        </w:rPr>
        <w:t>2</w:t>
      </w:r>
      <w:r>
        <w:rPr>
          <w:rFonts w:hint="eastAsia" w:ascii="Times New Roman" w:hAnsi="Times New Roman" w:eastAsia="黑体" w:cs="Times New Roman"/>
          <w:kern w:val="2"/>
          <w:szCs w:val="20"/>
          <w:lang w:val="zh-CN" w:eastAsia="zh-CN" w:bidi="ar-SA"/>
        </w:rPr>
        <w:t>.1 Non-IID数据与客户端漂移</w:t>
      </w:r>
      <w:r>
        <w:tab/>
      </w:r>
      <w:r>
        <w:fldChar w:fldCharType="begin"/>
      </w:r>
      <w:r>
        <w:instrText xml:space="preserve"> PAGEREF _Toc8644 \h </w:instrText>
      </w:r>
      <w:r>
        <w:fldChar w:fldCharType="separate"/>
      </w:r>
      <w:r>
        <w:t>8</w:t>
      </w:r>
      <w:r>
        <w:fldChar w:fldCharType="end"/>
      </w:r>
      <w:r>
        <w:fldChar w:fldCharType="end"/>
      </w:r>
    </w:p>
    <w:p w14:paraId="46C1A4E0">
      <w:pPr>
        <w:pStyle w:val="16"/>
      </w:pPr>
      <w:r>
        <w:fldChar w:fldCharType="begin"/>
      </w:r>
      <w:r>
        <w:instrText xml:space="preserve"> HYPERLINK \l _Toc12446 </w:instrText>
      </w:r>
      <w:r>
        <w:fldChar w:fldCharType="separate"/>
      </w:r>
      <w:r>
        <w:rPr>
          <w:rFonts w:hint="eastAsia" w:ascii="Times New Roman" w:hAnsi="Times New Roman" w:eastAsia="黑体" w:cs="Times New Roman"/>
          <w:kern w:val="2"/>
          <w:szCs w:val="20"/>
          <w:lang w:val="zh-CN" w:eastAsia="zh-CN" w:bidi="ar-SA"/>
        </w:rPr>
        <w:t>2.</w:t>
      </w:r>
      <w:r>
        <w:rPr>
          <w:rFonts w:hint="eastAsia" w:cs="Times New Roman"/>
          <w:kern w:val="2"/>
          <w:szCs w:val="20"/>
          <w:lang w:val="en-US" w:eastAsia="zh-CN" w:bidi="ar-SA"/>
        </w:rPr>
        <w:t>2</w:t>
      </w:r>
      <w:r>
        <w:rPr>
          <w:rFonts w:hint="eastAsia" w:ascii="Times New Roman" w:hAnsi="Times New Roman" w:eastAsia="黑体" w:cs="Times New Roman"/>
          <w:kern w:val="2"/>
          <w:szCs w:val="20"/>
          <w:lang w:val="zh-CN" w:eastAsia="zh-CN" w:bidi="ar-SA"/>
        </w:rPr>
        <w:t>.2 FedProx算法约束机制</w:t>
      </w:r>
      <w:r>
        <w:tab/>
      </w:r>
      <w:r>
        <w:fldChar w:fldCharType="begin"/>
      </w:r>
      <w:r>
        <w:instrText xml:space="preserve"> PAGEREF _Toc12446 \h </w:instrText>
      </w:r>
      <w:r>
        <w:fldChar w:fldCharType="separate"/>
      </w:r>
      <w:r>
        <w:t>8</w:t>
      </w:r>
      <w:r>
        <w:fldChar w:fldCharType="end"/>
      </w:r>
      <w:r>
        <w:fldChar w:fldCharType="end"/>
      </w:r>
    </w:p>
    <w:p w14:paraId="6DDA557F">
      <w:pPr>
        <w:pStyle w:val="27"/>
        <w:tabs>
          <w:tab w:val="right" w:leader="dot" w:pos="8958"/>
          <w:tab w:val="clear" w:pos="8777"/>
        </w:tabs>
      </w:pPr>
      <w:r>
        <w:fldChar w:fldCharType="begin"/>
      </w:r>
      <w:r>
        <w:instrText xml:space="preserve"> HYPERLINK \l _Toc4019 </w:instrText>
      </w:r>
      <w:r>
        <w:fldChar w:fldCharType="separate"/>
      </w:r>
      <w:r>
        <w:rPr>
          <w:rFonts w:hint="eastAsia" w:ascii="Times New Roman" w:hAnsi="Times New Roman" w:eastAsia="黑体" w:cs="Times New Roman"/>
          <w:bCs/>
          <w:kern w:val="2"/>
          <w:szCs w:val="32"/>
          <w:lang w:val="zh-CN" w:eastAsia="zh-CN" w:bidi="ar-SA"/>
        </w:rPr>
        <w:t>2.</w:t>
      </w:r>
      <w:r>
        <w:rPr>
          <w:rFonts w:hint="eastAsia" w:cs="Times New Roman"/>
          <w:bCs/>
          <w:kern w:val="2"/>
          <w:szCs w:val="32"/>
          <w:lang w:val="en-US" w:eastAsia="zh-CN" w:bidi="ar-SA"/>
        </w:rPr>
        <w:t xml:space="preserve">3 </w:t>
      </w:r>
      <w:r>
        <w:rPr>
          <w:rFonts w:hint="eastAsia" w:ascii="Times New Roman" w:hAnsi="Times New Roman" w:eastAsia="黑体" w:cs="Times New Roman"/>
          <w:bCs/>
          <w:kern w:val="2"/>
          <w:szCs w:val="32"/>
          <w:lang w:val="zh-CN" w:eastAsia="zh-CN" w:bidi="ar-SA"/>
        </w:rPr>
        <w:t>轻量化卷积神经网络</w:t>
      </w:r>
      <w:r>
        <w:tab/>
      </w:r>
      <w:r>
        <w:fldChar w:fldCharType="begin"/>
      </w:r>
      <w:r>
        <w:instrText xml:space="preserve"> PAGEREF _Toc4019 \h </w:instrText>
      </w:r>
      <w:r>
        <w:fldChar w:fldCharType="separate"/>
      </w:r>
      <w:r>
        <w:t>9</w:t>
      </w:r>
      <w:r>
        <w:fldChar w:fldCharType="end"/>
      </w:r>
      <w:r>
        <w:fldChar w:fldCharType="end"/>
      </w:r>
    </w:p>
    <w:p w14:paraId="652E8326">
      <w:pPr>
        <w:pStyle w:val="16"/>
      </w:pPr>
      <w:r>
        <w:fldChar w:fldCharType="begin"/>
      </w:r>
      <w:r>
        <w:instrText xml:space="preserve"> HYPERLINK \l _Toc10423 </w:instrText>
      </w:r>
      <w:r>
        <w:fldChar w:fldCharType="separate"/>
      </w:r>
      <w:r>
        <w:rPr>
          <w:rFonts w:hint="eastAsia"/>
          <w:lang w:val="zh-CN" w:eastAsia="zh-CN"/>
        </w:rPr>
        <w:t>2.</w:t>
      </w:r>
      <w:r>
        <w:rPr>
          <w:rFonts w:hint="eastAsia"/>
          <w:lang w:val="en-US" w:eastAsia="zh-CN"/>
        </w:rPr>
        <w:t>3</w:t>
      </w:r>
      <w:r>
        <w:rPr>
          <w:rFonts w:hint="eastAsia"/>
          <w:lang w:val="zh-CN" w:eastAsia="zh-CN"/>
        </w:rPr>
        <w:t>.</w:t>
      </w:r>
      <w:r>
        <w:rPr>
          <w:rFonts w:hint="eastAsia"/>
          <w:lang w:val="en-US" w:eastAsia="zh-CN"/>
        </w:rPr>
        <w:t>1</w:t>
      </w:r>
      <w:r>
        <w:rPr>
          <w:rFonts w:hint="eastAsia"/>
          <w:lang w:val="zh-CN" w:eastAsia="zh-CN"/>
        </w:rPr>
        <w:t xml:space="preserve"> </w:t>
      </w:r>
      <w:r>
        <w:rPr>
          <w:rFonts w:hint="eastAsia"/>
          <w:lang w:val="en-US" w:eastAsia="zh-CN"/>
        </w:rPr>
        <w:t>ResNet18</w:t>
      </w:r>
      <w:r>
        <w:tab/>
      </w:r>
      <w:r>
        <w:fldChar w:fldCharType="begin"/>
      </w:r>
      <w:r>
        <w:instrText xml:space="preserve"> PAGEREF _Toc10423 \h </w:instrText>
      </w:r>
      <w:r>
        <w:fldChar w:fldCharType="separate"/>
      </w:r>
      <w:r>
        <w:t>9</w:t>
      </w:r>
      <w:r>
        <w:fldChar w:fldCharType="end"/>
      </w:r>
      <w:r>
        <w:fldChar w:fldCharType="end"/>
      </w:r>
    </w:p>
    <w:p w14:paraId="123C8340">
      <w:pPr>
        <w:pStyle w:val="16"/>
      </w:pPr>
      <w:r>
        <w:fldChar w:fldCharType="begin"/>
      </w:r>
      <w:r>
        <w:instrText xml:space="preserve"> HYPERLINK \l _Toc28498 </w:instrText>
      </w:r>
      <w:r>
        <w:fldChar w:fldCharType="separate"/>
      </w:r>
      <w:r>
        <w:rPr>
          <w:rFonts w:hint="eastAsia"/>
          <w:lang w:val="zh-CN" w:eastAsia="zh-CN"/>
        </w:rPr>
        <w:t>2.</w:t>
      </w:r>
      <w:r>
        <w:rPr>
          <w:rFonts w:hint="eastAsia"/>
          <w:lang w:val="en-US" w:eastAsia="zh-CN"/>
        </w:rPr>
        <w:t>3</w:t>
      </w:r>
      <w:r>
        <w:rPr>
          <w:rFonts w:hint="eastAsia"/>
          <w:lang w:val="zh-CN" w:eastAsia="zh-CN"/>
        </w:rPr>
        <w:t>.</w:t>
      </w:r>
      <w:r>
        <w:rPr>
          <w:rFonts w:hint="eastAsia"/>
          <w:lang w:val="en-US" w:eastAsia="zh-CN"/>
        </w:rPr>
        <w:t>2</w:t>
      </w:r>
      <w:r>
        <w:rPr>
          <w:rFonts w:hint="eastAsia"/>
          <w:lang w:val="zh-CN" w:eastAsia="zh-CN"/>
        </w:rPr>
        <w:t xml:space="preserve"> </w:t>
      </w:r>
      <w:r>
        <w:rPr>
          <w:rFonts w:hint="eastAsia"/>
          <w:lang w:val="en-US" w:eastAsia="zh-CN"/>
        </w:rPr>
        <w:t>MobileNetV2</w:t>
      </w:r>
      <w:r>
        <w:tab/>
      </w:r>
      <w:r>
        <w:fldChar w:fldCharType="begin"/>
      </w:r>
      <w:r>
        <w:instrText xml:space="preserve"> PAGEREF _Toc28498 \h </w:instrText>
      </w:r>
      <w:r>
        <w:fldChar w:fldCharType="separate"/>
      </w:r>
      <w:r>
        <w:t>9</w:t>
      </w:r>
      <w:r>
        <w:fldChar w:fldCharType="end"/>
      </w:r>
      <w:r>
        <w:fldChar w:fldCharType="end"/>
      </w:r>
    </w:p>
    <w:p w14:paraId="0A13981E">
      <w:pPr>
        <w:pStyle w:val="27"/>
        <w:tabs>
          <w:tab w:val="right" w:leader="dot" w:pos="8958"/>
          <w:tab w:val="clear" w:pos="8777"/>
        </w:tabs>
      </w:pPr>
      <w:r>
        <w:fldChar w:fldCharType="begin"/>
      </w:r>
      <w:r>
        <w:instrText xml:space="preserve"> HYPERLINK \l _Toc2358 </w:instrText>
      </w:r>
      <w:r>
        <w:fldChar w:fldCharType="separate"/>
      </w:r>
      <w:r>
        <w:rPr>
          <w:rFonts w:hint="eastAsia" w:ascii="Times New Roman" w:hAnsi="Times New Roman" w:eastAsia="黑体" w:cs="Times New Roman"/>
          <w:bCs/>
          <w:kern w:val="2"/>
          <w:szCs w:val="32"/>
          <w:lang w:val="zh-CN" w:eastAsia="zh-CN" w:bidi="ar-SA"/>
        </w:rPr>
        <w:t>2.</w:t>
      </w:r>
      <w:r>
        <w:rPr>
          <w:rFonts w:hint="eastAsia" w:cs="Times New Roman"/>
          <w:bCs/>
          <w:kern w:val="2"/>
          <w:szCs w:val="32"/>
          <w:lang w:val="en-US" w:eastAsia="zh-CN" w:bidi="ar-SA"/>
        </w:rPr>
        <w:t>4</w:t>
      </w:r>
      <w:r>
        <w:rPr>
          <w:rFonts w:hint="eastAsia" w:ascii="Times New Roman" w:hAnsi="Times New Roman" w:eastAsia="黑体" w:cs="Times New Roman"/>
          <w:bCs/>
          <w:kern w:val="2"/>
          <w:szCs w:val="32"/>
          <w:lang w:val="zh-CN" w:eastAsia="zh-CN" w:bidi="ar-SA"/>
        </w:rPr>
        <w:t xml:space="preserve"> 本章小结</w:t>
      </w:r>
      <w:r>
        <w:tab/>
      </w:r>
      <w:r>
        <w:fldChar w:fldCharType="begin"/>
      </w:r>
      <w:r>
        <w:instrText xml:space="preserve"> PAGEREF _Toc2358 \h </w:instrText>
      </w:r>
      <w:r>
        <w:fldChar w:fldCharType="separate"/>
      </w:r>
      <w:r>
        <w:t>10</w:t>
      </w:r>
      <w:r>
        <w:fldChar w:fldCharType="end"/>
      </w:r>
      <w:r>
        <w:fldChar w:fldCharType="end"/>
      </w:r>
    </w:p>
    <w:p w14:paraId="4555D5E2">
      <w:pPr>
        <w:pStyle w:val="24"/>
        <w:tabs>
          <w:tab w:val="right" w:leader="dot" w:pos="8958"/>
          <w:tab w:val="clear" w:pos="8777"/>
        </w:tabs>
      </w:pPr>
      <w:r>
        <w:fldChar w:fldCharType="begin"/>
      </w:r>
      <w:r>
        <w:instrText xml:space="preserve"> HYPERLINK \l _Toc19035 </w:instrText>
      </w:r>
      <w:r>
        <w:fldChar w:fldCharType="separate"/>
      </w:r>
      <w:r>
        <w:rPr>
          <w:rFonts w:ascii="Times New Roman" w:hAnsi="Times New Roman" w:eastAsia="黑体" w:cs="Times New Roman"/>
          <w:kern w:val="2"/>
          <w:szCs w:val="24"/>
          <w:lang w:val="zh-CN" w:eastAsia="zh-CN" w:bidi="ar-SA"/>
        </w:rPr>
        <w:t>第3章 系统设计与方法研究</w:t>
      </w:r>
      <w:r>
        <w:tab/>
      </w:r>
      <w:r>
        <w:fldChar w:fldCharType="begin"/>
      </w:r>
      <w:r>
        <w:instrText xml:space="preserve"> PAGEREF _Toc19035 \h </w:instrText>
      </w:r>
      <w:r>
        <w:fldChar w:fldCharType="separate"/>
      </w:r>
      <w:r>
        <w:t>11</w:t>
      </w:r>
      <w:r>
        <w:fldChar w:fldCharType="end"/>
      </w:r>
      <w:r>
        <w:fldChar w:fldCharType="end"/>
      </w:r>
    </w:p>
    <w:p w14:paraId="476EC371">
      <w:pPr>
        <w:pStyle w:val="27"/>
        <w:tabs>
          <w:tab w:val="right" w:leader="dot" w:pos="8958"/>
          <w:tab w:val="clear" w:pos="8777"/>
        </w:tabs>
      </w:pPr>
      <w:r>
        <w:fldChar w:fldCharType="begin"/>
      </w:r>
      <w:r>
        <w:instrText xml:space="preserve"> HYPERLINK \l _Toc4781 </w:instrText>
      </w:r>
      <w:r>
        <w:fldChar w:fldCharType="separate"/>
      </w:r>
      <w:r>
        <w:rPr>
          <w:rFonts w:hint="eastAsia" w:ascii="Times New Roman" w:hAnsi="Times New Roman" w:eastAsia="黑体" w:cs="Times New Roman"/>
          <w:bCs/>
          <w:kern w:val="2"/>
          <w:szCs w:val="32"/>
          <w:lang w:val="zh-CN" w:eastAsia="zh-CN" w:bidi="ar-SA"/>
        </w:rPr>
        <w:t>3.1</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系统总体架构设计</w:t>
      </w:r>
      <w:r>
        <w:tab/>
      </w:r>
      <w:r>
        <w:fldChar w:fldCharType="begin"/>
      </w:r>
      <w:r>
        <w:instrText xml:space="preserve"> PAGEREF _Toc4781 \h </w:instrText>
      </w:r>
      <w:r>
        <w:fldChar w:fldCharType="separate"/>
      </w:r>
      <w:r>
        <w:t>11</w:t>
      </w:r>
      <w:r>
        <w:fldChar w:fldCharType="end"/>
      </w:r>
      <w:r>
        <w:fldChar w:fldCharType="end"/>
      </w:r>
    </w:p>
    <w:p w14:paraId="5B555B3A">
      <w:pPr>
        <w:pStyle w:val="27"/>
        <w:tabs>
          <w:tab w:val="right" w:leader="dot" w:pos="8958"/>
          <w:tab w:val="clear" w:pos="8777"/>
        </w:tabs>
      </w:pPr>
      <w:r>
        <w:fldChar w:fldCharType="begin"/>
      </w:r>
      <w:r>
        <w:instrText xml:space="preserve"> HYPERLINK \l _Toc11753 </w:instrText>
      </w:r>
      <w:r>
        <w:fldChar w:fldCharType="separate"/>
      </w:r>
      <w:r>
        <w:rPr>
          <w:rFonts w:hint="eastAsia" w:ascii="Times New Roman" w:hAnsi="Times New Roman" w:eastAsia="黑体" w:cs="Times New Roman"/>
          <w:bCs/>
          <w:kern w:val="2"/>
          <w:szCs w:val="32"/>
          <w:lang w:val="zh-CN" w:eastAsia="zh-CN" w:bidi="ar-SA"/>
        </w:rPr>
        <w:t>3.2</w:t>
      </w:r>
      <w:r>
        <w:rPr>
          <w:rFonts w:hint="eastAsia" w:cs="Times New Roman"/>
          <w:bCs/>
          <w:kern w:val="2"/>
          <w:szCs w:val="32"/>
          <w:lang w:val="en-US" w:eastAsia="zh-CN" w:bidi="ar-SA"/>
        </w:rPr>
        <w:t xml:space="preserve"> 联邦学习</w:t>
      </w:r>
      <w:r>
        <w:rPr>
          <w:rFonts w:hint="eastAsia" w:ascii="Times New Roman" w:hAnsi="Times New Roman" w:eastAsia="黑体" w:cs="Times New Roman"/>
          <w:bCs/>
          <w:kern w:val="2"/>
          <w:szCs w:val="32"/>
          <w:lang w:val="zh-CN" w:eastAsia="zh-CN" w:bidi="ar-SA"/>
        </w:rPr>
        <w:t>算法</w:t>
      </w:r>
      <w:r>
        <w:rPr>
          <w:rFonts w:hint="eastAsia" w:cs="Times New Roman"/>
          <w:bCs/>
          <w:kern w:val="2"/>
          <w:szCs w:val="32"/>
          <w:lang w:val="en-US" w:eastAsia="zh-CN" w:bidi="ar-SA"/>
        </w:rPr>
        <w:t>的</w:t>
      </w:r>
      <w:r>
        <w:rPr>
          <w:rFonts w:hint="eastAsia" w:ascii="Times New Roman" w:hAnsi="Times New Roman" w:eastAsia="黑体" w:cs="Times New Roman"/>
          <w:bCs/>
          <w:kern w:val="2"/>
          <w:szCs w:val="32"/>
          <w:lang w:val="zh-CN" w:eastAsia="zh-CN" w:bidi="ar-SA"/>
        </w:rPr>
        <w:t>分析与优化</w:t>
      </w:r>
      <w:r>
        <w:tab/>
      </w:r>
      <w:r>
        <w:fldChar w:fldCharType="begin"/>
      </w:r>
      <w:r>
        <w:instrText xml:space="preserve"> PAGEREF _Toc11753 \h </w:instrText>
      </w:r>
      <w:r>
        <w:fldChar w:fldCharType="separate"/>
      </w:r>
      <w:r>
        <w:t>11</w:t>
      </w:r>
      <w:r>
        <w:fldChar w:fldCharType="end"/>
      </w:r>
      <w:r>
        <w:fldChar w:fldCharType="end"/>
      </w:r>
    </w:p>
    <w:p w14:paraId="03E70152">
      <w:pPr>
        <w:pStyle w:val="16"/>
      </w:pPr>
      <w:r>
        <w:fldChar w:fldCharType="begin"/>
      </w:r>
      <w:r>
        <w:instrText xml:space="preserve"> HYPERLINK \l _Toc31053 </w:instrText>
      </w:r>
      <w:r>
        <w:fldChar w:fldCharType="separate"/>
      </w:r>
      <w:r>
        <w:rPr>
          <w:rFonts w:hint="eastAsia" w:ascii="Times New Roman" w:hAnsi="Times New Roman" w:eastAsia="黑体" w:cs="Times New Roman"/>
          <w:kern w:val="2"/>
          <w:szCs w:val="20"/>
          <w:lang w:val="zh-CN" w:eastAsia="zh-CN" w:bidi="ar-SA"/>
        </w:rPr>
        <w:t xml:space="preserve">3.2.1 </w:t>
      </w:r>
      <w:r>
        <w:rPr>
          <w:rFonts w:hint="eastAsia" w:cs="Times New Roman"/>
          <w:kern w:val="2"/>
          <w:szCs w:val="20"/>
          <w:lang w:val="en-US" w:eastAsia="zh-CN" w:bidi="ar-SA"/>
        </w:rPr>
        <w:t>固</w:t>
      </w:r>
      <w:r>
        <w:rPr>
          <w:rFonts w:hint="eastAsia" w:ascii="Times New Roman" w:hAnsi="Times New Roman" w:eastAsia="黑体" w:cs="Times New Roman"/>
          <w:kern w:val="2"/>
          <w:szCs w:val="20"/>
          <w:lang w:val="zh-CN" w:eastAsia="zh-CN" w:bidi="ar-SA"/>
        </w:rPr>
        <w:t>定近端约束的局限性分析</w:t>
      </w:r>
      <w:r>
        <w:tab/>
      </w:r>
      <w:r>
        <w:fldChar w:fldCharType="begin"/>
      </w:r>
      <w:r>
        <w:instrText xml:space="preserve"> PAGEREF _Toc31053 \h </w:instrText>
      </w:r>
      <w:r>
        <w:fldChar w:fldCharType="separate"/>
      </w:r>
      <w:r>
        <w:t>11</w:t>
      </w:r>
      <w:r>
        <w:fldChar w:fldCharType="end"/>
      </w:r>
      <w:r>
        <w:fldChar w:fldCharType="end"/>
      </w:r>
    </w:p>
    <w:p w14:paraId="11FAB364">
      <w:pPr>
        <w:pStyle w:val="16"/>
      </w:pPr>
      <w:r>
        <w:fldChar w:fldCharType="begin"/>
      </w:r>
      <w:r>
        <w:instrText xml:space="preserve"> HYPERLINK \l _Toc4809 </w:instrText>
      </w:r>
      <w:r>
        <w:fldChar w:fldCharType="separate"/>
      </w:r>
      <w:r>
        <w:rPr>
          <w:rFonts w:hint="eastAsia" w:ascii="Times New Roman" w:hAnsi="Times New Roman" w:eastAsia="黑体" w:cs="Times New Roman"/>
          <w:kern w:val="2"/>
          <w:szCs w:val="20"/>
          <w:lang w:val="zh-CN" w:eastAsia="zh-CN" w:bidi="ar-SA"/>
        </w:rPr>
        <w:t>3.2.2 动态近端约束衰减机制设计</w:t>
      </w:r>
      <w:r>
        <w:tab/>
      </w:r>
      <w:r>
        <w:fldChar w:fldCharType="begin"/>
      </w:r>
      <w:r>
        <w:instrText xml:space="preserve"> PAGEREF _Toc4809 \h </w:instrText>
      </w:r>
      <w:r>
        <w:fldChar w:fldCharType="separate"/>
      </w:r>
      <w:r>
        <w:t>12</w:t>
      </w:r>
      <w:r>
        <w:fldChar w:fldCharType="end"/>
      </w:r>
      <w:r>
        <w:fldChar w:fldCharType="end"/>
      </w:r>
    </w:p>
    <w:p w14:paraId="5EB40DB9">
      <w:pPr>
        <w:pStyle w:val="27"/>
        <w:tabs>
          <w:tab w:val="right" w:leader="dot" w:pos="8958"/>
          <w:tab w:val="clear" w:pos="8777"/>
        </w:tabs>
      </w:pPr>
      <w:r>
        <w:fldChar w:fldCharType="begin"/>
      </w:r>
      <w:r>
        <w:instrText xml:space="preserve"> HYPERLINK \l _Toc6796 </w:instrText>
      </w:r>
      <w:r>
        <w:fldChar w:fldCharType="separate"/>
      </w:r>
      <w:r>
        <w:rPr>
          <w:rFonts w:hint="eastAsia" w:ascii="Times New Roman" w:hAnsi="Times New Roman" w:eastAsia="黑体" w:cs="Times New Roman"/>
          <w:bCs/>
          <w:kern w:val="2"/>
          <w:szCs w:val="32"/>
          <w:lang w:val="zh-CN" w:eastAsia="zh-CN" w:bidi="ar-SA"/>
        </w:rPr>
        <w:t>3.3</w:t>
      </w:r>
      <w:r>
        <w:rPr>
          <w:rFonts w:hint="eastAsia" w:cs="Times New Roman"/>
          <w:bCs/>
          <w:kern w:val="2"/>
          <w:szCs w:val="32"/>
          <w:lang w:val="en-US" w:eastAsia="zh-CN" w:bidi="ar-SA"/>
        </w:rPr>
        <w:t xml:space="preserve"> 基于</w:t>
      </w:r>
      <w:r>
        <w:rPr>
          <w:rFonts w:hint="eastAsia" w:ascii="Times New Roman" w:hAnsi="Times New Roman" w:eastAsia="黑体" w:cs="Times New Roman"/>
          <w:bCs/>
          <w:kern w:val="2"/>
          <w:szCs w:val="32"/>
          <w:lang w:val="zh-CN" w:eastAsia="zh-CN" w:bidi="ar-SA"/>
        </w:rPr>
        <w:t>小样本条件的优化策略</w:t>
      </w:r>
      <w:r>
        <w:tab/>
      </w:r>
      <w:r>
        <w:fldChar w:fldCharType="begin"/>
      </w:r>
      <w:r>
        <w:instrText xml:space="preserve"> PAGEREF _Toc6796 \h </w:instrText>
      </w:r>
      <w:r>
        <w:fldChar w:fldCharType="separate"/>
      </w:r>
      <w:r>
        <w:t>13</w:t>
      </w:r>
      <w:r>
        <w:fldChar w:fldCharType="end"/>
      </w:r>
      <w:r>
        <w:fldChar w:fldCharType="end"/>
      </w:r>
    </w:p>
    <w:p w14:paraId="3D53B239">
      <w:pPr>
        <w:pStyle w:val="16"/>
      </w:pPr>
      <w:r>
        <w:fldChar w:fldCharType="begin"/>
      </w:r>
      <w:r>
        <w:instrText xml:space="preserve"> HYPERLINK \l _Toc28942 </w:instrText>
      </w:r>
      <w:r>
        <w:fldChar w:fldCharType="separate"/>
      </w:r>
      <w:r>
        <w:rPr>
          <w:rFonts w:hint="eastAsia" w:ascii="Times New Roman" w:hAnsi="Times New Roman" w:eastAsia="黑体" w:cs="Times New Roman"/>
          <w:kern w:val="2"/>
          <w:szCs w:val="20"/>
          <w:lang w:val="zh-CN" w:eastAsia="zh-CN" w:bidi="ar-SA"/>
        </w:rPr>
        <w:t>3.</w:t>
      </w:r>
      <w:r>
        <w:rPr>
          <w:rFonts w:hint="eastAsia" w:cs="Times New Roman"/>
          <w:kern w:val="2"/>
          <w:szCs w:val="20"/>
          <w:lang w:val="en-US" w:eastAsia="zh-CN" w:bidi="ar-SA"/>
        </w:rPr>
        <w:t>3</w:t>
      </w:r>
      <w:r>
        <w:rPr>
          <w:rFonts w:hint="eastAsia" w:ascii="Times New Roman" w:hAnsi="Times New Roman" w:eastAsia="黑体" w:cs="Times New Roman"/>
          <w:kern w:val="2"/>
          <w:szCs w:val="20"/>
          <w:lang w:val="zh-CN" w:eastAsia="zh-CN" w:bidi="ar-SA"/>
        </w:rPr>
        <w:t>.</w:t>
      </w:r>
      <w:r>
        <w:rPr>
          <w:rFonts w:hint="eastAsia" w:cs="Times New Roman"/>
          <w:kern w:val="2"/>
          <w:szCs w:val="20"/>
          <w:lang w:val="en-US" w:eastAsia="zh-CN" w:bidi="ar-SA"/>
        </w:rPr>
        <w:t>1</w:t>
      </w:r>
      <w:r>
        <w:rPr>
          <w:rFonts w:hint="eastAsia" w:ascii="Times New Roman" w:hAnsi="Times New Roman" w:eastAsia="黑体" w:cs="Times New Roman"/>
          <w:kern w:val="2"/>
          <w:szCs w:val="20"/>
          <w:lang w:val="zh-CN" w:eastAsia="zh-CN" w:bidi="ar-SA"/>
        </w:rPr>
        <w:t xml:space="preserve"> ImageNet预训练权重迁移</w:t>
      </w:r>
      <w:r>
        <w:tab/>
      </w:r>
      <w:r>
        <w:fldChar w:fldCharType="begin"/>
      </w:r>
      <w:r>
        <w:instrText xml:space="preserve"> PAGEREF _Toc28942 \h </w:instrText>
      </w:r>
      <w:r>
        <w:fldChar w:fldCharType="separate"/>
      </w:r>
      <w:r>
        <w:t>13</w:t>
      </w:r>
      <w:r>
        <w:fldChar w:fldCharType="end"/>
      </w:r>
      <w:r>
        <w:fldChar w:fldCharType="end"/>
      </w:r>
    </w:p>
    <w:p w14:paraId="201B593F">
      <w:pPr>
        <w:pStyle w:val="16"/>
      </w:pPr>
      <w:r>
        <w:fldChar w:fldCharType="begin"/>
      </w:r>
      <w:r>
        <w:instrText xml:space="preserve"> HYPERLINK \l _Toc9438 </w:instrText>
      </w:r>
      <w:r>
        <w:fldChar w:fldCharType="separate"/>
      </w:r>
      <w:r>
        <w:rPr>
          <w:rFonts w:hint="eastAsia" w:ascii="Times New Roman" w:hAnsi="Times New Roman" w:eastAsia="黑体" w:cs="Times New Roman"/>
          <w:kern w:val="2"/>
          <w:szCs w:val="20"/>
          <w:lang w:val="zh-CN" w:eastAsia="zh-CN" w:bidi="ar-SA"/>
        </w:rPr>
        <w:t>3.</w:t>
      </w:r>
      <w:r>
        <w:rPr>
          <w:rFonts w:hint="eastAsia" w:cs="Times New Roman"/>
          <w:kern w:val="2"/>
          <w:szCs w:val="20"/>
          <w:lang w:val="en-US" w:eastAsia="zh-CN" w:bidi="ar-SA"/>
        </w:rPr>
        <w:t>3</w:t>
      </w:r>
      <w:r>
        <w:rPr>
          <w:rFonts w:hint="eastAsia" w:ascii="Times New Roman" w:hAnsi="Times New Roman" w:eastAsia="黑体" w:cs="Times New Roman"/>
          <w:kern w:val="2"/>
          <w:szCs w:val="20"/>
          <w:lang w:val="zh-CN" w:eastAsia="zh-CN" w:bidi="ar-SA"/>
        </w:rPr>
        <w:t>.</w:t>
      </w:r>
      <w:r>
        <w:rPr>
          <w:rFonts w:hint="eastAsia" w:cs="Times New Roman"/>
          <w:kern w:val="2"/>
          <w:szCs w:val="20"/>
          <w:lang w:val="en-US" w:eastAsia="zh-CN" w:bidi="ar-SA"/>
        </w:rPr>
        <w:t>2</w:t>
      </w:r>
      <w:r>
        <w:rPr>
          <w:rFonts w:hint="eastAsia" w:ascii="Times New Roman" w:hAnsi="Times New Roman" w:eastAsia="黑体" w:cs="Times New Roman"/>
          <w:kern w:val="2"/>
          <w:szCs w:val="20"/>
          <w:lang w:val="zh-CN" w:eastAsia="zh-CN" w:bidi="ar-SA"/>
        </w:rPr>
        <w:t xml:space="preserve"> Mixup混合增强方法</w:t>
      </w:r>
      <w:r>
        <w:tab/>
      </w:r>
      <w:r>
        <w:fldChar w:fldCharType="begin"/>
      </w:r>
      <w:r>
        <w:instrText xml:space="preserve"> PAGEREF _Toc9438 \h </w:instrText>
      </w:r>
      <w:r>
        <w:fldChar w:fldCharType="separate"/>
      </w:r>
      <w:r>
        <w:t>14</w:t>
      </w:r>
      <w:r>
        <w:fldChar w:fldCharType="end"/>
      </w:r>
      <w:r>
        <w:fldChar w:fldCharType="end"/>
      </w:r>
    </w:p>
    <w:p w14:paraId="74F7A808">
      <w:pPr>
        <w:pStyle w:val="27"/>
        <w:tabs>
          <w:tab w:val="right" w:leader="dot" w:pos="8958"/>
          <w:tab w:val="clear" w:pos="8777"/>
        </w:tabs>
      </w:pPr>
      <w:r>
        <w:fldChar w:fldCharType="begin"/>
      </w:r>
      <w:r>
        <w:instrText xml:space="preserve"> HYPERLINK \l _Toc8536 </w:instrText>
      </w:r>
      <w:r>
        <w:fldChar w:fldCharType="separate"/>
      </w:r>
      <w:r>
        <w:rPr>
          <w:rFonts w:hint="eastAsia" w:ascii="Times New Roman" w:hAnsi="Times New Roman" w:eastAsia="黑体" w:cs="Times New Roman"/>
          <w:bCs/>
          <w:kern w:val="2"/>
          <w:szCs w:val="32"/>
          <w:lang w:val="zh-CN" w:eastAsia="zh-CN" w:bidi="ar-SA"/>
        </w:rPr>
        <w:t>3.</w:t>
      </w:r>
      <w:r>
        <w:rPr>
          <w:rFonts w:hint="eastAsia" w:cs="Times New Roman"/>
          <w:bCs/>
          <w:kern w:val="2"/>
          <w:szCs w:val="32"/>
          <w:lang w:val="en-US" w:eastAsia="zh-CN" w:bidi="ar-SA"/>
        </w:rPr>
        <w:t>4</w:t>
      </w:r>
      <w:r>
        <w:rPr>
          <w:rFonts w:hint="eastAsia" w:ascii="Times New Roman" w:hAnsi="Times New Roman" w:eastAsia="黑体" w:cs="Times New Roman"/>
          <w:bCs/>
          <w:kern w:val="2"/>
          <w:szCs w:val="32"/>
          <w:lang w:val="zh-CN" w:eastAsia="zh-CN" w:bidi="ar-SA"/>
        </w:rPr>
        <w:t xml:space="preserve"> 本章小结</w:t>
      </w:r>
      <w:r>
        <w:tab/>
      </w:r>
      <w:r>
        <w:fldChar w:fldCharType="begin"/>
      </w:r>
      <w:r>
        <w:instrText xml:space="preserve"> PAGEREF _Toc8536 \h </w:instrText>
      </w:r>
      <w:r>
        <w:fldChar w:fldCharType="separate"/>
      </w:r>
      <w:r>
        <w:t>14</w:t>
      </w:r>
      <w:r>
        <w:fldChar w:fldCharType="end"/>
      </w:r>
      <w:r>
        <w:fldChar w:fldCharType="end"/>
      </w:r>
    </w:p>
    <w:p w14:paraId="225A1517">
      <w:pPr>
        <w:pStyle w:val="24"/>
        <w:tabs>
          <w:tab w:val="right" w:leader="dot" w:pos="8958"/>
          <w:tab w:val="clear" w:pos="8777"/>
        </w:tabs>
      </w:pPr>
      <w:r>
        <w:fldChar w:fldCharType="begin"/>
      </w:r>
      <w:r>
        <w:instrText xml:space="preserve"> HYPERLINK \l _Toc27223 </w:instrText>
      </w:r>
      <w:r>
        <w:fldChar w:fldCharType="separate"/>
      </w:r>
      <w:r>
        <w:rPr>
          <w:rFonts w:ascii="Times New Roman" w:hAnsi="Times New Roman" w:eastAsia="黑体" w:cs="Times New Roman"/>
          <w:kern w:val="2"/>
          <w:szCs w:val="24"/>
          <w:lang w:val="zh-CN" w:eastAsia="zh-CN" w:bidi="ar-SA"/>
        </w:rPr>
        <w:t>第4章 实验与结果分析</w:t>
      </w:r>
      <w:r>
        <w:tab/>
      </w:r>
      <w:r>
        <w:fldChar w:fldCharType="begin"/>
      </w:r>
      <w:r>
        <w:instrText xml:space="preserve"> PAGEREF _Toc27223 \h </w:instrText>
      </w:r>
      <w:r>
        <w:fldChar w:fldCharType="separate"/>
      </w:r>
      <w:r>
        <w:t>15</w:t>
      </w:r>
      <w:r>
        <w:fldChar w:fldCharType="end"/>
      </w:r>
      <w:r>
        <w:fldChar w:fldCharType="end"/>
      </w:r>
    </w:p>
    <w:p w14:paraId="4BD49DC3">
      <w:pPr>
        <w:pStyle w:val="27"/>
        <w:tabs>
          <w:tab w:val="right" w:leader="dot" w:pos="8958"/>
          <w:tab w:val="clear" w:pos="8777"/>
        </w:tabs>
      </w:pPr>
      <w:r>
        <w:fldChar w:fldCharType="begin"/>
      </w:r>
      <w:r>
        <w:instrText xml:space="preserve"> HYPERLINK \l _Toc390 </w:instrText>
      </w:r>
      <w:r>
        <w:fldChar w:fldCharType="separate"/>
      </w:r>
      <w:r>
        <w:rPr>
          <w:rFonts w:hint="eastAsia" w:ascii="Times New Roman" w:hAnsi="Times New Roman" w:eastAsia="黑体" w:cs="Times New Roman"/>
          <w:bCs/>
          <w:kern w:val="2"/>
          <w:szCs w:val="32"/>
          <w:lang w:val="zh-CN" w:eastAsia="zh-CN" w:bidi="ar-SA"/>
        </w:rPr>
        <w:t>4.1</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实验环境与数据集配置</w:t>
      </w:r>
      <w:r>
        <w:tab/>
      </w:r>
      <w:r>
        <w:fldChar w:fldCharType="begin"/>
      </w:r>
      <w:r>
        <w:instrText xml:space="preserve"> PAGEREF _Toc390 \h </w:instrText>
      </w:r>
      <w:r>
        <w:fldChar w:fldCharType="separate"/>
      </w:r>
      <w:r>
        <w:t>15</w:t>
      </w:r>
      <w:r>
        <w:fldChar w:fldCharType="end"/>
      </w:r>
      <w:r>
        <w:fldChar w:fldCharType="end"/>
      </w:r>
    </w:p>
    <w:p w14:paraId="587812FF">
      <w:pPr>
        <w:pStyle w:val="16"/>
      </w:pPr>
      <w:r>
        <w:fldChar w:fldCharType="begin"/>
      </w:r>
      <w:r>
        <w:instrText xml:space="preserve"> HYPERLINK \l _Toc7465 </w:instrText>
      </w:r>
      <w:r>
        <w:fldChar w:fldCharType="separate"/>
      </w:r>
      <w:r>
        <w:rPr>
          <w:rFonts w:hint="eastAsia" w:ascii="Times New Roman" w:hAnsi="Times New Roman" w:eastAsia="黑体" w:cs="Times New Roman"/>
          <w:kern w:val="2"/>
          <w:szCs w:val="20"/>
          <w:lang w:val="zh-CN" w:eastAsia="zh-CN" w:bidi="ar-SA"/>
        </w:rPr>
        <w:t>4.1.</w:t>
      </w:r>
      <w:r>
        <w:rPr>
          <w:rFonts w:hint="eastAsia" w:cs="Times New Roman"/>
          <w:kern w:val="2"/>
          <w:szCs w:val="20"/>
          <w:lang w:val="en-US" w:eastAsia="zh-CN" w:bidi="ar-SA"/>
        </w:rPr>
        <w:t>1</w:t>
      </w:r>
      <w:r>
        <w:rPr>
          <w:rFonts w:hint="eastAsia" w:ascii="Times New Roman" w:hAnsi="Times New Roman" w:eastAsia="黑体" w:cs="Times New Roman"/>
          <w:kern w:val="2"/>
          <w:szCs w:val="20"/>
          <w:lang w:val="zh-CN" w:eastAsia="zh-CN" w:bidi="ar-SA"/>
        </w:rPr>
        <w:t xml:space="preserve"> 数据集配置</w:t>
      </w:r>
      <w:r>
        <w:tab/>
      </w:r>
      <w:r>
        <w:fldChar w:fldCharType="begin"/>
      </w:r>
      <w:r>
        <w:instrText xml:space="preserve"> PAGEREF _Toc7465 \h </w:instrText>
      </w:r>
      <w:r>
        <w:fldChar w:fldCharType="separate"/>
      </w:r>
      <w:r>
        <w:t>15</w:t>
      </w:r>
      <w:r>
        <w:fldChar w:fldCharType="end"/>
      </w:r>
      <w:r>
        <w:fldChar w:fldCharType="end"/>
      </w:r>
    </w:p>
    <w:p w14:paraId="501A12F4">
      <w:pPr>
        <w:pStyle w:val="16"/>
      </w:pPr>
      <w:r>
        <w:fldChar w:fldCharType="begin"/>
      </w:r>
      <w:r>
        <w:instrText xml:space="preserve"> HYPERLINK \l _Toc16282 </w:instrText>
      </w:r>
      <w:r>
        <w:fldChar w:fldCharType="separate"/>
      </w:r>
      <w:r>
        <w:rPr>
          <w:rFonts w:hint="eastAsia" w:ascii="Times New Roman" w:hAnsi="Times New Roman" w:eastAsia="黑体" w:cs="Times New Roman"/>
          <w:kern w:val="2"/>
          <w:szCs w:val="20"/>
          <w:lang w:val="zh-CN" w:eastAsia="zh-CN" w:bidi="ar-SA"/>
        </w:rPr>
        <w:t>4.1.</w:t>
      </w:r>
      <w:r>
        <w:rPr>
          <w:rFonts w:hint="eastAsia" w:cs="Times New Roman"/>
          <w:kern w:val="2"/>
          <w:szCs w:val="20"/>
          <w:lang w:val="en-US" w:eastAsia="zh-CN" w:bidi="ar-SA"/>
        </w:rPr>
        <w:t>2</w:t>
      </w:r>
      <w:r>
        <w:rPr>
          <w:rFonts w:hint="eastAsia" w:ascii="Times New Roman" w:hAnsi="Times New Roman" w:eastAsia="黑体" w:cs="Times New Roman"/>
          <w:kern w:val="2"/>
          <w:szCs w:val="20"/>
          <w:lang w:val="zh-CN" w:eastAsia="zh-CN" w:bidi="ar-SA"/>
        </w:rPr>
        <w:t xml:space="preserve"> 实验环境</w:t>
      </w:r>
      <w:r>
        <w:rPr>
          <w:rFonts w:hint="eastAsia" w:cs="Times New Roman"/>
          <w:kern w:val="2"/>
          <w:szCs w:val="20"/>
          <w:lang w:val="en-US" w:eastAsia="zh-CN" w:bidi="ar-SA"/>
        </w:rPr>
        <w:t>及训练</w:t>
      </w:r>
      <w:r>
        <w:rPr>
          <w:rFonts w:hint="eastAsia" w:ascii="Times New Roman" w:hAnsi="Times New Roman" w:eastAsia="黑体" w:cs="Times New Roman"/>
          <w:kern w:val="2"/>
          <w:szCs w:val="20"/>
          <w:lang w:val="zh-CN" w:eastAsia="zh-CN" w:bidi="ar-SA"/>
        </w:rPr>
        <w:t>参数</w:t>
      </w:r>
      <w:r>
        <w:tab/>
      </w:r>
      <w:r>
        <w:fldChar w:fldCharType="begin"/>
      </w:r>
      <w:r>
        <w:instrText xml:space="preserve"> PAGEREF _Toc16282 \h </w:instrText>
      </w:r>
      <w:r>
        <w:fldChar w:fldCharType="separate"/>
      </w:r>
      <w:r>
        <w:t>15</w:t>
      </w:r>
      <w:r>
        <w:fldChar w:fldCharType="end"/>
      </w:r>
      <w:r>
        <w:fldChar w:fldCharType="end"/>
      </w:r>
    </w:p>
    <w:p w14:paraId="2B766D5A">
      <w:pPr>
        <w:pStyle w:val="27"/>
        <w:tabs>
          <w:tab w:val="right" w:leader="dot" w:pos="8958"/>
          <w:tab w:val="clear" w:pos="8777"/>
        </w:tabs>
      </w:pPr>
      <w:r>
        <w:fldChar w:fldCharType="begin"/>
      </w:r>
      <w:r>
        <w:instrText xml:space="preserve"> HYPERLINK \l _Toc28006 </w:instrText>
      </w:r>
      <w:r>
        <w:fldChar w:fldCharType="separate"/>
      </w:r>
      <w:r>
        <w:rPr>
          <w:rFonts w:hint="eastAsia" w:ascii="Times New Roman" w:hAnsi="Times New Roman" w:eastAsia="黑体" w:cs="Times New Roman"/>
          <w:bCs/>
          <w:kern w:val="2"/>
          <w:szCs w:val="32"/>
          <w:lang w:val="zh-CN" w:eastAsia="zh-CN" w:bidi="ar-SA"/>
        </w:rPr>
        <w:t>4.2 基于</w:t>
      </w:r>
      <w:r>
        <w:rPr>
          <w:rFonts w:hint="eastAsia" w:cs="Times New Roman"/>
          <w:bCs/>
          <w:kern w:val="2"/>
          <w:szCs w:val="32"/>
          <w:lang w:val="zh-CN" w:eastAsia="zh-CN" w:bidi="ar-SA"/>
        </w:rPr>
        <w:t>CIFAR-10</w:t>
      </w:r>
      <w:r>
        <w:rPr>
          <w:rFonts w:hint="eastAsia" w:ascii="Times New Roman" w:hAnsi="Times New Roman" w:eastAsia="黑体" w:cs="Times New Roman"/>
          <w:bCs/>
          <w:kern w:val="2"/>
          <w:szCs w:val="32"/>
          <w:lang w:val="zh-CN" w:eastAsia="zh-CN" w:bidi="ar-SA"/>
        </w:rPr>
        <w:t>的</w:t>
      </w:r>
      <w:r>
        <w:rPr>
          <w:rFonts w:hint="eastAsia" w:cs="Times New Roman"/>
          <w:bCs/>
          <w:kern w:val="2"/>
          <w:szCs w:val="32"/>
          <w:lang w:val="en-US" w:eastAsia="zh-CN" w:bidi="ar-SA"/>
        </w:rPr>
        <w:t>改进FedProx</w:t>
      </w:r>
      <w:r>
        <w:rPr>
          <w:rFonts w:hint="eastAsia" w:ascii="Times New Roman" w:hAnsi="Times New Roman" w:eastAsia="黑体" w:cs="Times New Roman"/>
          <w:bCs/>
          <w:kern w:val="2"/>
          <w:szCs w:val="32"/>
          <w:lang w:val="zh-CN" w:eastAsia="zh-CN" w:bidi="ar-SA"/>
        </w:rPr>
        <w:t>算法</w:t>
      </w:r>
      <w:r>
        <w:rPr>
          <w:rFonts w:hint="eastAsia" w:cs="Times New Roman"/>
          <w:bCs/>
          <w:kern w:val="2"/>
          <w:szCs w:val="32"/>
          <w:lang w:val="en-US" w:eastAsia="zh-CN" w:bidi="ar-SA"/>
        </w:rPr>
        <w:t>初步</w:t>
      </w:r>
      <w:r>
        <w:rPr>
          <w:rFonts w:hint="eastAsia" w:ascii="Times New Roman" w:hAnsi="Times New Roman" w:eastAsia="黑体" w:cs="Times New Roman"/>
          <w:bCs/>
          <w:kern w:val="2"/>
          <w:szCs w:val="32"/>
          <w:lang w:val="zh-CN" w:eastAsia="zh-CN" w:bidi="ar-SA"/>
        </w:rPr>
        <w:t>验证</w:t>
      </w:r>
      <w:r>
        <w:tab/>
      </w:r>
      <w:r>
        <w:fldChar w:fldCharType="begin"/>
      </w:r>
      <w:r>
        <w:instrText xml:space="preserve"> PAGEREF _Toc28006 \h </w:instrText>
      </w:r>
      <w:r>
        <w:fldChar w:fldCharType="separate"/>
      </w:r>
      <w:r>
        <w:t>16</w:t>
      </w:r>
      <w:r>
        <w:fldChar w:fldCharType="end"/>
      </w:r>
      <w:r>
        <w:fldChar w:fldCharType="end"/>
      </w:r>
    </w:p>
    <w:p w14:paraId="6EDC3AF0">
      <w:pPr>
        <w:pStyle w:val="27"/>
        <w:tabs>
          <w:tab w:val="right" w:leader="dot" w:pos="8958"/>
          <w:tab w:val="clear" w:pos="8777"/>
        </w:tabs>
      </w:pPr>
      <w:r>
        <w:fldChar w:fldCharType="begin"/>
      </w:r>
      <w:r>
        <w:instrText xml:space="preserve"> HYPERLINK \l _Toc1307 </w:instrText>
      </w:r>
      <w:r>
        <w:fldChar w:fldCharType="separate"/>
      </w:r>
      <w:r>
        <w:rPr>
          <w:rFonts w:hint="eastAsia" w:ascii="Times New Roman" w:hAnsi="Times New Roman" w:eastAsia="黑体" w:cs="Times New Roman"/>
          <w:bCs/>
          <w:kern w:val="2"/>
          <w:szCs w:val="32"/>
          <w:lang w:val="zh-CN" w:eastAsia="zh-CN" w:bidi="ar-SA"/>
        </w:rPr>
        <w:t>4.3 基于Crop的消融实验分析</w:t>
      </w:r>
      <w:r>
        <w:tab/>
      </w:r>
      <w:r>
        <w:fldChar w:fldCharType="begin"/>
      </w:r>
      <w:r>
        <w:instrText xml:space="preserve"> PAGEREF _Toc1307 \h </w:instrText>
      </w:r>
      <w:r>
        <w:fldChar w:fldCharType="separate"/>
      </w:r>
      <w:r>
        <w:t>17</w:t>
      </w:r>
      <w:r>
        <w:fldChar w:fldCharType="end"/>
      </w:r>
      <w:r>
        <w:fldChar w:fldCharType="end"/>
      </w:r>
    </w:p>
    <w:p w14:paraId="05D65F14">
      <w:pPr>
        <w:pStyle w:val="16"/>
      </w:pPr>
      <w:r>
        <w:fldChar w:fldCharType="begin"/>
      </w:r>
      <w:r>
        <w:instrText xml:space="preserve"> HYPERLINK \l _Toc31076 </w:instrText>
      </w:r>
      <w:r>
        <w:fldChar w:fldCharType="separate"/>
      </w:r>
      <w:r>
        <w:rPr>
          <w:rFonts w:hint="eastAsia" w:ascii="Times New Roman" w:hAnsi="Times New Roman" w:eastAsia="黑体" w:cs="Times New Roman"/>
          <w:kern w:val="2"/>
          <w:szCs w:val="20"/>
          <w:lang w:val="zh-CN" w:eastAsia="zh-CN" w:bidi="ar-SA"/>
        </w:rPr>
        <w:t xml:space="preserve">4.3.1 </w:t>
      </w:r>
      <w:r>
        <w:rPr>
          <w:rFonts w:hint="eastAsia" w:cs="Times New Roman"/>
          <w:kern w:val="2"/>
          <w:szCs w:val="20"/>
          <w:lang w:val="en-US" w:eastAsia="zh-CN" w:bidi="ar-SA"/>
        </w:rPr>
        <w:t>FedAvg算法下的</w:t>
      </w:r>
      <w:r>
        <w:rPr>
          <w:rFonts w:hint="eastAsia" w:ascii="Times New Roman" w:hAnsi="Times New Roman" w:eastAsia="黑体" w:cs="Times New Roman"/>
          <w:kern w:val="2"/>
          <w:szCs w:val="20"/>
          <w:lang w:val="zh-CN" w:eastAsia="zh-CN" w:bidi="ar-SA"/>
        </w:rPr>
        <w:t>预训练与数据增强效果</w:t>
      </w:r>
      <w:r>
        <w:rPr>
          <w:rFonts w:hint="eastAsia" w:cs="Times New Roman"/>
          <w:kern w:val="2"/>
          <w:szCs w:val="20"/>
          <w:lang w:val="en-US" w:eastAsia="zh-CN" w:bidi="ar-SA"/>
        </w:rPr>
        <w:t>初步</w:t>
      </w:r>
      <w:r>
        <w:rPr>
          <w:rFonts w:hint="eastAsia" w:ascii="Times New Roman" w:hAnsi="Times New Roman" w:eastAsia="黑体" w:cs="Times New Roman"/>
          <w:kern w:val="2"/>
          <w:szCs w:val="20"/>
          <w:lang w:val="zh-CN" w:eastAsia="zh-CN" w:bidi="ar-SA"/>
        </w:rPr>
        <w:t>验证</w:t>
      </w:r>
      <w:r>
        <w:tab/>
      </w:r>
      <w:r>
        <w:fldChar w:fldCharType="begin"/>
      </w:r>
      <w:r>
        <w:instrText xml:space="preserve"> PAGEREF _Toc31076 \h </w:instrText>
      </w:r>
      <w:r>
        <w:fldChar w:fldCharType="separate"/>
      </w:r>
      <w:r>
        <w:t>17</w:t>
      </w:r>
      <w:r>
        <w:fldChar w:fldCharType="end"/>
      </w:r>
      <w:r>
        <w:fldChar w:fldCharType="end"/>
      </w:r>
    </w:p>
    <w:p w14:paraId="39B6CD97">
      <w:pPr>
        <w:pStyle w:val="16"/>
      </w:pPr>
      <w:r>
        <w:fldChar w:fldCharType="begin"/>
      </w:r>
      <w:r>
        <w:instrText xml:space="preserve"> HYPERLINK \l _Toc20031 </w:instrText>
      </w:r>
      <w:r>
        <w:fldChar w:fldCharType="separate"/>
      </w:r>
      <w:r>
        <w:rPr>
          <w:rFonts w:hint="eastAsia" w:ascii="Times New Roman" w:hAnsi="Times New Roman" w:eastAsia="黑体" w:cs="Times New Roman"/>
          <w:kern w:val="2"/>
          <w:szCs w:val="20"/>
          <w:lang w:val="zh-CN" w:eastAsia="zh-CN" w:bidi="ar-SA"/>
        </w:rPr>
        <w:t xml:space="preserve">4.3.2 </w:t>
      </w:r>
      <w:r>
        <w:rPr>
          <w:rFonts w:hint="eastAsia" w:cs="Times New Roman"/>
          <w:kern w:val="2"/>
          <w:szCs w:val="20"/>
          <w:lang w:val="en-US" w:eastAsia="zh-CN" w:bidi="ar-SA"/>
        </w:rPr>
        <w:t>FedProx算法下完整组件效果验证</w:t>
      </w:r>
      <w:r>
        <w:tab/>
      </w:r>
      <w:r>
        <w:fldChar w:fldCharType="begin"/>
      </w:r>
      <w:r>
        <w:instrText xml:space="preserve"> PAGEREF _Toc20031 \h </w:instrText>
      </w:r>
      <w:r>
        <w:fldChar w:fldCharType="separate"/>
      </w:r>
      <w:r>
        <w:t>18</w:t>
      </w:r>
      <w:r>
        <w:fldChar w:fldCharType="end"/>
      </w:r>
      <w:r>
        <w:fldChar w:fldCharType="end"/>
      </w:r>
    </w:p>
    <w:p w14:paraId="19322E02">
      <w:pPr>
        <w:pStyle w:val="16"/>
      </w:pPr>
      <w:r>
        <w:fldChar w:fldCharType="begin"/>
      </w:r>
      <w:r>
        <w:instrText xml:space="preserve"> HYPERLINK \l _Toc20153 </w:instrText>
      </w:r>
      <w:r>
        <w:fldChar w:fldCharType="separate"/>
      </w:r>
      <w:r>
        <w:rPr>
          <w:rFonts w:hint="eastAsia" w:ascii="Times New Roman" w:hAnsi="Times New Roman" w:eastAsia="黑体" w:cs="Times New Roman"/>
          <w:kern w:val="2"/>
          <w:szCs w:val="20"/>
          <w:lang w:val="zh-CN" w:eastAsia="zh-CN" w:bidi="ar-SA"/>
        </w:rPr>
        <w:t>4.3.</w:t>
      </w:r>
      <w:r>
        <w:rPr>
          <w:rFonts w:hint="eastAsia" w:cs="Times New Roman"/>
          <w:kern w:val="2"/>
          <w:szCs w:val="20"/>
          <w:lang w:val="en-US" w:eastAsia="zh-CN" w:bidi="ar-SA"/>
        </w:rPr>
        <w:t>3</w:t>
      </w:r>
      <w:r>
        <w:rPr>
          <w:rFonts w:hint="eastAsia" w:ascii="Times New Roman" w:hAnsi="Times New Roman" w:eastAsia="黑体" w:cs="Times New Roman"/>
          <w:kern w:val="2"/>
          <w:szCs w:val="20"/>
          <w:lang w:val="zh-CN" w:eastAsia="zh-CN" w:bidi="ar-SA"/>
        </w:rPr>
        <w:t xml:space="preserve"> 主干网络对比与</w:t>
      </w:r>
      <w:r>
        <w:rPr>
          <w:rFonts w:hint="eastAsia" w:cs="Times New Roman"/>
          <w:kern w:val="2"/>
          <w:szCs w:val="20"/>
          <w:lang w:val="en-US" w:eastAsia="zh-CN" w:bidi="ar-SA"/>
        </w:rPr>
        <w:t>泛化能力</w:t>
      </w:r>
      <w:r>
        <w:rPr>
          <w:rFonts w:hint="eastAsia" w:ascii="Times New Roman" w:hAnsi="Times New Roman" w:eastAsia="黑体" w:cs="Times New Roman"/>
          <w:kern w:val="2"/>
          <w:szCs w:val="20"/>
          <w:lang w:val="zh-CN" w:eastAsia="zh-CN" w:bidi="ar-SA"/>
        </w:rPr>
        <w:t>分析</w:t>
      </w:r>
      <w:r>
        <w:tab/>
      </w:r>
      <w:r>
        <w:fldChar w:fldCharType="begin"/>
      </w:r>
      <w:r>
        <w:instrText xml:space="preserve"> PAGEREF _Toc20153 \h </w:instrText>
      </w:r>
      <w:r>
        <w:fldChar w:fldCharType="separate"/>
      </w:r>
      <w:r>
        <w:t>19</w:t>
      </w:r>
      <w:r>
        <w:fldChar w:fldCharType="end"/>
      </w:r>
      <w:r>
        <w:fldChar w:fldCharType="end"/>
      </w:r>
    </w:p>
    <w:p w14:paraId="4F16C3EE">
      <w:pPr>
        <w:pStyle w:val="27"/>
        <w:tabs>
          <w:tab w:val="right" w:leader="dot" w:pos="8958"/>
          <w:tab w:val="clear" w:pos="8777"/>
        </w:tabs>
      </w:pPr>
      <w:r>
        <w:fldChar w:fldCharType="begin"/>
      </w:r>
      <w:r>
        <w:instrText xml:space="preserve"> HYPERLINK \l _Toc21404 </w:instrText>
      </w:r>
      <w:r>
        <w:fldChar w:fldCharType="separate"/>
      </w:r>
      <w:r>
        <w:rPr>
          <w:rFonts w:hint="eastAsia" w:ascii="Times New Roman" w:hAnsi="Times New Roman" w:eastAsia="黑体" w:cs="Times New Roman"/>
          <w:bCs/>
          <w:kern w:val="2"/>
          <w:szCs w:val="32"/>
          <w:lang w:val="zh-CN" w:eastAsia="zh-CN" w:bidi="ar-SA"/>
        </w:rPr>
        <w:t>4.4 可视化农作物分类系统展示</w:t>
      </w:r>
      <w:r>
        <w:tab/>
      </w:r>
      <w:r>
        <w:fldChar w:fldCharType="begin"/>
      </w:r>
      <w:r>
        <w:instrText xml:space="preserve"> PAGEREF _Toc21404 \h </w:instrText>
      </w:r>
      <w:r>
        <w:fldChar w:fldCharType="separate"/>
      </w:r>
      <w:r>
        <w:t>20</w:t>
      </w:r>
      <w:r>
        <w:fldChar w:fldCharType="end"/>
      </w:r>
      <w:r>
        <w:fldChar w:fldCharType="end"/>
      </w:r>
    </w:p>
    <w:p w14:paraId="272FBD84">
      <w:pPr>
        <w:pStyle w:val="27"/>
        <w:tabs>
          <w:tab w:val="right" w:leader="dot" w:pos="8958"/>
          <w:tab w:val="clear" w:pos="8777"/>
        </w:tabs>
      </w:pPr>
      <w:r>
        <w:fldChar w:fldCharType="begin"/>
      </w:r>
      <w:r>
        <w:instrText xml:space="preserve"> HYPERLINK \l _Toc26542 </w:instrText>
      </w:r>
      <w:r>
        <w:fldChar w:fldCharType="separate"/>
      </w:r>
      <w:r>
        <w:t>4.5 本章小结</w:t>
      </w:r>
      <w:r>
        <w:tab/>
      </w:r>
      <w:r>
        <w:fldChar w:fldCharType="begin"/>
      </w:r>
      <w:r>
        <w:instrText xml:space="preserve"> PAGEREF _Toc26542 \h </w:instrText>
      </w:r>
      <w:r>
        <w:fldChar w:fldCharType="separate"/>
      </w:r>
      <w:r>
        <w:t>22</w:t>
      </w:r>
      <w:r>
        <w:fldChar w:fldCharType="end"/>
      </w:r>
      <w:r>
        <w:fldChar w:fldCharType="end"/>
      </w:r>
    </w:p>
    <w:p w14:paraId="7C8B9101">
      <w:pPr>
        <w:pStyle w:val="24"/>
        <w:tabs>
          <w:tab w:val="right" w:leader="dot" w:pos="8958"/>
          <w:tab w:val="clear" w:pos="8777"/>
        </w:tabs>
      </w:pPr>
      <w:r>
        <w:fldChar w:fldCharType="begin"/>
      </w:r>
      <w:r>
        <w:instrText xml:space="preserve"> HYPERLINK \l _Toc25144 </w:instrText>
      </w:r>
      <w:r>
        <w:fldChar w:fldCharType="separate"/>
      </w:r>
      <w:r>
        <w:rPr>
          <w:rFonts w:ascii="Times New Roman" w:hAnsi="Times New Roman" w:eastAsia="黑体" w:cs="Times New Roman"/>
          <w:kern w:val="2"/>
          <w:szCs w:val="24"/>
          <w:lang w:val="zh-CN" w:eastAsia="zh-CN" w:bidi="ar-SA"/>
        </w:rPr>
        <w:t>第5章 总结与展望</w:t>
      </w:r>
      <w:r>
        <w:tab/>
      </w:r>
      <w:r>
        <w:fldChar w:fldCharType="begin"/>
      </w:r>
      <w:r>
        <w:instrText xml:space="preserve"> PAGEREF _Toc25144 \h </w:instrText>
      </w:r>
      <w:r>
        <w:fldChar w:fldCharType="separate"/>
      </w:r>
      <w:r>
        <w:t>23</w:t>
      </w:r>
      <w:r>
        <w:fldChar w:fldCharType="end"/>
      </w:r>
      <w:r>
        <w:fldChar w:fldCharType="end"/>
      </w:r>
    </w:p>
    <w:p w14:paraId="0F026395">
      <w:pPr>
        <w:pStyle w:val="27"/>
        <w:tabs>
          <w:tab w:val="right" w:leader="dot" w:pos="8958"/>
          <w:tab w:val="clear" w:pos="8777"/>
        </w:tabs>
      </w:pPr>
      <w:r>
        <w:fldChar w:fldCharType="begin"/>
      </w:r>
      <w:r>
        <w:instrText xml:space="preserve"> HYPERLINK \l _Toc12685 </w:instrText>
      </w:r>
      <w:r>
        <w:fldChar w:fldCharType="separate"/>
      </w:r>
      <w:r>
        <w:rPr>
          <w:rFonts w:hint="eastAsia" w:ascii="Times New Roman" w:hAnsi="Times New Roman" w:eastAsia="黑体" w:cs="Times New Roman"/>
          <w:bCs/>
          <w:kern w:val="2"/>
          <w:szCs w:val="32"/>
          <w:lang w:val="zh-CN" w:eastAsia="zh-CN" w:bidi="ar-SA"/>
        </w:rPr>
        <w:t>5.1</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总结</w:t>
      </w:r>
      <w:r>
        <w:tab/>
      </w:r>
      <w:r>
        <w:fldChar w:fldCharType="begin"/>
      </w:r>
      <w:r>
        <w:instrText xml:space="preserve"> PAGEREF _Toc12685 \h </w:instrText>
      </w:r>
      <w:r>
        <w:fldChar w:fldCharType="separate"/>
      </w:r>
      <w:r>
        <w:t>23</w:t>
      </w:r>
      <w:r>
        <w:fldChar w:fldCharType="end"/>
      </w:r>
      <w:r>
        <w:fldChar w:fldCharType="end"/>
      </w:r>
    </w:p>
    <w:p w14:paraId="78B0C7E9">
      <w:pPr>
        <w:pStyle w:val="27"/>
        <w:tabs>
          <w:tab w:val="right" w:leader="dot" w:pos="8958"/>
          <w:tab w:val="clear" w:pos="8777"/>
        </w:tabs>
      </w:pPr>
      <w:r>
        <w:fldChar w:fldCharType="begin"/>
      </w:r>
      <w:r>
        <w:instrText xml:space="preserve"> HYPERLINK \l _Toc7462 </w:instrText>
      </w:r>
      <w:r>
        <w:fldChar w:fldCharType="separate"/>
      </w:r>
      <w:r>
        <w:rPr>
          <w:rFonts w:hint="eastAsia" w:ascii="Times New Roman" w:hAnsi="Times New Roman" w:eastAsia="黑体" w:cs="Times New Roman"/>
          <w:bCs/>
          <w:kern w:val="2"/>
          <w:szCs w:val="32"/>
          <w:lang w:val="zh-CN" w:eastAsia="zh-CN" w:bidi="ar-SA"/>
        </w:rPr>
        <w:t>5.2</w:t>
      </w:r>
      <w:r>
        <w:rPr>
          <w:rFonts w:hint="eastAsia" w:cs="Times New Roman"/>
          <w:bCs/>
          <w:kern w:val="2"/>
          <w:szCs w:val="32"/>
          <w:lang w:val="en-US" w:eastAsia="zh-CN" w:bidi="ar-SA"/>
        </w:rPr>
        <w:t xml:space="preserve"> </w:t>
      </w:r>
      <w:r>
        <w:rPr>
          <w:rFonts w:hint="eastAsia" w:ascii="Times New Roman" w:hAnsi="Times New Roman" w:eastAsia="黑体" w:cs="Times New Roman"/>
          <w:bCs/>
          <w:kern w:val="2"/>
          <w:szCs w:val="32"/>
          <w:lang w:val="zh-CN" w:eastAsia="zh-CN" w:bidi="ar-SA"/>
        </w:rPr>
        <w:t>展望</w:t>
      </w:r>
      <w:r>
        <w:tab/>
      </w:r>
      <w:r>
        <w:fldChar w:fldCharType="begin"/>
      </w:r>
      <w:r>
        <w:instrText xml:space="preserve"> PAGEREF _Toc7462 \h </w:instrText>
      </w:r>
      <w:r>
        <w:fldChar w:fldCharType="separate"/>
      </w:r>
      <w:r>
        <w:t>23</w:t>
      </w:r>
      <w:r>
        <w:fldChar w:fldCharType="end"/>
      </w:r>
      <w:r>
        <w:fldChar w:fldCharType="end"/>
      </w:r>
    </w:p>
    <w:p w14:paraId="1D1DC69D">
      <w:pPr>
        <w:pStyle w:val="24"/>
        <w:tabs>
          <w:tab w:val="right" w:leader="dot" w:pos="8958"/>
          <w:tab w:val="clear" w:pos="8777"/>
        </w:tabs>
      </w:pPr>
      <w:r>
        <w:fldChar w:fldCharType="begin"/>
      </w:r>
      <w:r>
        <w:instrText xml:space="preserve"> HYPERLINK \l _Toc19012 </w:instrText>
      </w:r>
      <w:r>
        <w:fldChar w:fldCharType="separate"/>
      </w:r>
      <w:r>
        <w:t>参考文献</w:t>
      </w:r>
      <w:r>
        <w:tab/>
      </w:r>
      <w:r>
        <w:fldChar w:fldCharType="begin"/>
      </w:r>
      <w:r>
        <w:instrText xml:space="preserve"> PAGEREF _Toc19012 \h </w:instrText>
      </w:r>
      <w:r>
        <w:fldChar w:fldCharType="separate"/>
      </w:r>
      <w:r>
        <w:t>25</w:t>
      </w:r>
      <w:r>
        <w:fldChar w:fldCharType="end"/>
      </w:r>
      <w:r>
        <w:fldChar w:fldCharType="end"/>
      </w:r>
    </w:p>
    <w:p w14:paraId="606F8B9F">
      <w:pPr>
        <w:pStyle w:val="24"/>
        <w:tabs>
          <w:tab w:val="right" w:leader="dot" w:pos="8958"/>
          <w:tab w:val="clear" w:pos="8777"/>
        </w:tabs>
      </w:pPr>
      <w:r>
        <w:fldChar w:fldCharType="begin"/>
      </w:r>
      <w:r>
        <w:instrText xml:space="preserve"> HYPERLINK \l _Toc15644 </w:instrText>
      </w:r>
      <w:r>
        <w:fldChar w:fldCharType="separate"/>
      </w:r>
      <w:r>
        <w:t>致谢</w:t>
      </w:r>
      <w:r>
        <w:tab/>
      </w:r>
      <w:r>
        <w:fldChar w:fldCharType="begin"/>
      </w:r>
      <w:r>
        <w:instrText xml:space="preserve"> PAGEREF _Toc15644 \h </w:instrText>
      </w:r>
      <w:r>
        <w:fldChar w:fldCharType="separate"/>
      </w:r>
      <w:r>
        <w:t>27</w:t>
      </w:r>
      <w:r>
        <w:fldChar w:fldCharType="end"/>
      </w:r>
      <w:r>
        <w:fldChar w:fldCharType="end"/>
      </w:r>
    </w:p>
    <w:p w14:paraId="423FBAA7">
      <w:pPr>
        <w:pStyle w:val="27"/>
        <w:bidi w:val="0"/>
        <w:rPr>
          <w:rFonts w:eastAsia="黑体"/>
          <w:szCs w:val="28"/>
        </w:rPr>
      </w:pPr>
      <w:r>
        <w:fldChar w:fldCharType="end"/>
      </w:r>
    </w:p>
    <w:p w14:paraId="4938F46D">
      <w:pPr>
        <w:ind w:firstLine="0" w:firstLineChars="0"/>
        <w:sectPr>
          <w:headerReference r:id="rId14" w:type="default"/>
          <w:footerReference r:id="rId16" w:type="default"/>
          <w:headerReference r:id="rId15" w:type="even"/>
          <w:footerReference r:id="rId17" w:type="even"/>
          <w:pgSz w:w="11906" w:h="16838"/>
          <w:pgMar w:top="1701" w:right="1474" w:bottom="1418" w:left="1474" w:header="1134" w:footer="992" w:gutter="0"/>
          <w:pgBorders>
            <w:top w:val="none" w:sz="0" w:space="0"/>
            <w:left w:val="none" w:sz="0" w:space="0"/>
            <w:bottom w:val="none" w:sz="0" w:space="0"/>
            <w:right w:val="none" w:sz="0" w:space="0"/>
          </w:pgBorders>
          <w:pgNumType w:fmt="upperRoman"/>
          <w:cols w:space="720" w:num="1"/>
          <w:docGrid w:linePitch="326" w:charSpace="0"/>
        </w:sectPr>
      </w:pPr>
    </w:p>
    <w:p w14:paraId="435DAF99">
      <w:pPr>
        <w:pStyle w:val="2"/>
        <w:spacing w:before="480" w:after="240"/>
        <w:rPr>
          <w:rFonts w:eastAsia="黑体"/>
          <w:lang w:val="en-US" w:eastAsia="zh-CN"/>
        </w:rPr>
      </w:pPr>
      <w:bookmarkStart w:id="19" w:name="_Toc223595385"/>
      <w:bookmarkStart w:id="20" w:name="_Toc523697197"/>
      <w:bookmarkStart w:id="21" w:name="_Toc183"/>
      <w:r>
        <w:rPr>
          <w:rFonts w:hint="eastAsia"/>
        </w:rPr>
        <w:t>主要</w:t>
      </w:r>
      <w:r>
        <w:t>符号</w:t>
      </w:r>
      <w:r>
        <w:rPr>
          <w:rFonts w:hint="eastAsia"/>
        </w:rPr>
        <w:t>注释</w:t>
      </w:r>
      <w:r>
        <w:t>表</w:t>
      </w:r>
      <w:bookmarkEnd w:id="19"/>
      <w:bookmarkEnd w:id="20"/>
      <w:bookmarkEnd w:id="21"/>
    </w:p>
    <w:p w14:paraId="61729121">
      <w:pPr>
        <w:pStyle w:val="56"/>
        <w:rPr>
          <w:highlight w:val="none"/>
        </w:rPr>
      </w:pPr>
      <w:r>
        <w:rPr>
          <w:rFonts w:hint="eastAsia"/>
          <w:highlight w:val="none"/>
        </w:rPr>
        <w:t>中英文缩略词对照表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3968"/>
        <w:gridCol w:w="3058"/>
      </w:tblGrid>
      <w:tr w14:paraId="4ABF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single" w:color="000000" w:sz="12" w:space="0"/>
              <w:left w:val="nil"/>
              <w:bottom w:val="single" w:color="000000" w:sz="4" w:space="0"/>
              <w:right w:val="nil"/>
              <w:tl2br w:val="nil"/>
            </w:tcBorders>
            <w:shd w:val="clear" w:color="auto" w:fill="FFFFFF"/>
            <w:vAlign w:val="center"/>
          </w:tcPr>
          <w:p w14:paraId="1154B232">
            <w:pPr>
              <w:pStyle w:val="58"/>
              <w:spacing w:line="360" w:lineRule="exact"/>
              <w:rPr>
                <w:b w:val="0"/>
                <w:highlight w:val="none"/>
              </w:rPr>
            </w:pPr>
            <w:r>
              <w:rPr>
                <w:b w:val="0"/>
                <w:highlight w:val="none"/>
              </w:rPr>
              <w:t>英文缩写</w:t>
            </w:r>
          </w:p>
        </w:tc>
        <w:tc>
          <w:tcPr>
            <w:tcW w:w="3968" w:type="dxa"/>
            <w:tcBorders>
              <w:top w:val="single" w:color="000000" w:sz="12" w:space="0"/>
              <w:left w:val="nil"/>
              <w:bottom w:val="single" w:color="000000" w:sz="4" w:space="0"/>
              <w:right w:val="nil"/>
            </w:tcBorders>
            <w:shd w:val="clear" w:color="auto" w:fill="FFFFFF"/>
            <w:vAlign w:val="center"/>
          </w:tcPr>
          <w:p w14:paraId="188D76D8">
            <w:pPr>
              <w:pStyle w:val="58"/>
              <w:spacing w:line="360" w:lineRule="exact"/>
              <w:rPr>
                <w:b w:val="0"/>
                <w:highlight w:val="none"/>
              </w:rPr>
            </w:pPr>
            <w:r>
              <w:rPr>
                <w:b w:val="0"/>
                <w:highlight w:val="none"/>
              </w:rPr>
              <w:t>英文全名</w:t>
            </w:r>
          </w:p>
        </w:tc>
        <w:tc>
          <w:tcPr>
            <w:tcW w:w="3058" w:type="dxa"/>
            <w:tcBorders>
              <w:top w:val="single" w:color="000000" w:sz="12" w:space="0"/>
              <w:left w:val="nil"/>
              <w:bottom w:val="single" w:color="000000" w:sz="4" w:space="0"/>
              <w:right w:val="nil"/>
            </w:tcBorders>
            <w:shd w:val="clear" w:color="auto" w:fill="FFFFFF"/>
            <w:vAlign w:val="center"/>
          </w:tcPr>
          <w:p w14:paraId="10C48B9F">
            <w:pPr>
              <w:pStyle w:val="58"/>
              <w:spacing w:line="360" w:lineRule="exact"/>
              <w:rPr>
                <w:b w:val="0"/>
                <w:highlight w:val="none"/>
              </w:rPr>
            </w:pPr>
            <w:r>
              <w:rPr>
                <w:b w:val="0"/>
                <w:highlight w:val="none"/>
              </w:rPr>
              <w:t>中文译名</w:t>
            </w:r>
          </w:p>
        </w:tc>
      </w:tr>
      <w:tr w14:paraId="39F7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single" w:color="000000" w:sz="4" w:space="0"/>
              <w:left w:val="nil"/>
              <w:bottom w:val="nil"/>
              <w:right w:val="nil"/>
            </w:tcBorders>
            <w:shd w:val="clear" w:color="auto" w:fill="FFFFFF"/>
            <w:vAlign w:val="center"/>
          </w:tcPr>
          <w:p w14:paraId="747DA97C">
            <w:pPr>
              <w:pStyle w:val="58"/>
              <w:bidi w:val="0"/>
              <w:rPr>
                <w:b w:val="0"/>
              </w:rPr>
            </w:pPr>
            <w:r>
              <w:rPr>
                <w:b w:val="0"/>
              </w:rPr>
              <w:t>FedAvg</w:t>
            </w:r>
          </w:p>
        </w:tc>
        <w:tc>
          <w:tcPr>
            <w:tcW w:w="3968" w:type="dxa"/>
            <w:tcBorders>
              <w:top w:val="single" w:color="000000" w:sz="4" w:space="0"/>
              <w:left w:val="nil"/>
              <w:bottom w:val="nil"/>
              <w:right w:val="nil"/>
            </w:tcBorders>
            <w:shd w:val="clear" w:color="auto" w:fill="FFFFFF"/>
            <w:vAlign w:val="center"/>
          </w:tcPr>
          <w:p w14:paraId="4D51C48F">
            <w:pPr>
              <w:pStyle w:val="58"/>
              <w:bidi w:val="0"/>
              <w:rPr>
                <w:b w:val="0"/>
              </w:rPr>
            </w:pPr>
            <w:r>
              <w:rPr>
                <w:b w:val="0"/>
              </w:rPr>
              <w:t>Federated Averaging</w:t>
            </w:r>
          </w:p>
        </w:tc>
        <w:tc>
          <w:tcPr>
            <w:tcW w:w="3058" w:type="dxa"/>
            <w:tcBorders>
              <w:top w:val="single" w:color="000000" w:sz="4" w:space="0"/>
              <w:left w:val="nil"/>
              <w:bottom w:val="nil"/>
              <w:right w:val="nil"/>
            </w:tcBorders>
            <w:shd w:val="clear" w:color="auto" w:fill="FFFFFF"/>
            <w:vAlign w:val="center"/>
          </w:tcPr>
          <w:p w14:paraId="604109EE">
            <w:pPr>
              <w:pStyle w:val="58"/>
              <w:bidi w:val="0"/>
              <w:rPr>
                <w:b w:val="0"/>
              </w:rPr>
            </w:pPr>
            <w:r>
              <w:rPr>
                <w:b w:val="0"/>
              </w:rPr>
              <w:t>联邦平均算法</w:t>
            </w:r>
          </w:p>
        </w:tc>
      </w:tr>
      <w:tr w14:paraId="17BE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nil"/>
              <w:left w:val="nil"/>
              <w:bottom w:val="nil"/>
              <w:right w:val="nil"/>
            </w:tcBorders>
            <w:shd w:val="clear" w:color="auto" w:fill="FFFFFF"/>
            <w:vAlign w:val="center"/>
          </w:tcPr>
          <w:p w14:paraId="695913DA">
            <w:pPr>
              <w:pStyle w:val="58"/>
              <w:bidi w:val="0"/>
              <w:rPr>
                <w:b w:val="0"/>
              </w:rPr>
            </w:pPr>
            <w:r>
              <w:rPr>
                <w:b w:val="0"/>
              </w:rPr>
              <w:t>FedProx</w:t>
            </w:r>
          </w:p>
        </w:tc>
        <w:tc>
          <w:tcPr>
            <w:tcW w:w="3968" w:type="dxa"/>
            <w:tcBorders>
              <w:top w:val="nil"/>
              <w:left w:val="nil"/>
              <w:bottom w:val="nil"/>
              <w:right w:val="nil"/>
            </w:tcBorders>
            <w:shd w:val="clear" w:color="auto" w:fill="FFFFFF"/>
            <w:vAlign w:val="center"/>
          </w:tcPr>
          <w:p w14:paraId="604000C6">
            <w:pPr>
              <w:pStyle w:val="58"/>
              <w:bidi w:val="0"/>
              <w:rPr>
                <w:b w:val="0"/>
              </w:rPr>
            </w:pPr>
            <w:r>
              <w:rPr>
                <w:b w:val="0"/>
              </w:rPr>
              <w:t>Federated Proximal</w:t>
            </w:r>
          </w:p>
        </w:tc>
        <w:tc>
          <w:tcPr>
            <w:tcW w:w="3058" w:type="dxa"/>
            <w:tcBorders>
              <w:top w:val="nil"/>
              <w:left w:val="nil"/>
              <w:bottom w:val="nil"/>
              <w:right w:val="nil"/>
            </w:tcBorders>
            <w:shd w:val="clear" w:color="auto" w:fill="FFFFFF"/>
            <w:vAlign w:val="center"/>
          </w:tcPr>
          <w:p w14:paraId="2B29DA2C">
            <w:pPr>
              <w:pStyle w:val="58"/>
              <w:bidi w:val="0"/>
              <w:rPr>
                <w:b w:val="0"/>
              </w:rPr>
            </w:pPr>
            <w:r>
              <w:rPr>
                <w:b w:val="0"/>
              </w:rPr>
              <w:t>联邦近端算法</w:t>
            </w:r>
          </w:p>
        </w:tc>
      </w:tr>
      <w:tr w14:paraId="37C4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nil"/>
              <w:left w:val="nil"/>
              <w:bottom w:val="nil"/>
              <w:right w:val="nil"/>
            </w:tcBorders>
            <w:shd w:val="clear" w:color="auto" w:fill="FFFFFF"/>
            <w:vAlign w:val="center"/>
          </w:tcPr>
          <w:p w14:paraId="1A0CCBB4">
            <w:pPr>
              <w:pStyle w:val="58"/>
              <w:bidi w:val="0"/>
              <w:rPr>
                <w:b w:val="0"/>
              </w:rPr>
            </w:pPr>
            <w:r>
              <w:rPr>
                <w:b w:val="0"/>
              </w:rPr>
              <w:t>SGD</w:t>
            </w:r>
          </w:p>
        </w:tc>
        <w:tc>
          <w:tcPr>
            <w:tcW w:w="3968" w:type="dxa"/>
            <w:tcBorders>
              <w:top w:val="nil"/>
              <w:left w:val="nil"/>
              <w:bottom w:val="nil"/>
              <w:right w:val="nil"/>
            </w:tcBorders>
            <w:shd w:val="clear" w:color="auto" w:fill="FFFFFF"/>
            <w:vAlign w:val="center"/>
          </w:tcPr>
          <w:p w14:paraId="043DCE28">
            <w:pPr>
              <w:pStyle w:val="58"/>
              <w:bidi w:val="0"/>
              <w:rPr>
                <w:b w:val="0"/>
              </w:rPr>
            </w:pPr>
            <w:r>
              <w:rPr>
                <w:b w:val="0"/>
              </w:rPr>
              <w:t>Stochastic Gradient Descent</w:t>
            </w:r>
          </w:p>
        </w:tc>
        <w:tc>
          <w:tcPr>
            <w:tcW w:w="3058" w:type="dxa"/>
            <w:tcBorders>
              <w:top w:val="nil"/>
              <w:left w:val="nil"/>
              <w:bottom w:val="nil"/>
              <w:right w:val="nil"/>
            </w:tcBorders>
            <w:shd w:val="clear" w:color="auto" w:fill="FFFFFF"/>
            <w:vAlign w:val="center"/>
          </w:tcPr>
          <w:p w14:paraId="1AC54ECE">
            <w:pPr>
              <w:pStyle w:val="58"/>
              <w:bidi w:val="0"/>
              <w:rPr>
                <w:b w:val="0"/>
              </w:rPr>
            </w:pPr>
            <w:r>
              <w:rPr>
                <w:b w:val="0"/>
              </w:rPr>
              <w:t>随机梯度下降</w:t>
            </w:r>
          </w:p>
        </w:tc>
      </w:tr>
      <w:tr w14:paraId="3E9D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nil"/>
              <w:left w:val="nil"/>
              <w:bottom w:val="nil"/>
              <w:right w:val="nil"/>
            </w:tcBorders>
            <w:shd w:val="clear" w:color="auto" w:fill="FFFFFF"/>
            <w:vAlign w:val="center"/>
          </w:tcPr>
          <w:p w14:paraId="6E32828A">
            <w:pPr>
              <w:pStyle w:val="58"/>
              <w:bidi w:val="0"/>
              <w:rPr>
                <w:b w:val="0"/>
              </w:rPr>
            </w:pPr>
            <w:r>
              <w:rPr>
                <w:b w:val="0"/>
              </w:rPr>
              <w:t>CNN</w:t>
            </w:r>
          </w:p>
        </w:tc>
        <w:tc>
          <w:tcPr>
            <w:tcW w:w="3968" w:type="dxa"/>
            <w:tcBorders>
              <w:top w:val="nil"/>
              <w:left w:val="nil"/>
              <w:bottom w:val="nil"/>
              <w:right w:val="nil"/>
            </w:tcBorders>
            <w:shd w:val="clear" w:color="auto" w:fill="FFFFFF"/>
            <w:vAlign w:val="center"/>
          </w:tcPr>
          <w:p w14:paraId="1AA30EC0">
            <w:pPr>
              <w:pStyle w:val="58"/>
              <w:bidi w:val="0"/>
              <w:rPr>
                <w:b w:val="0"/>
              </w:rPr>
            </w:pPr>
            <w:r>
              <w:rPr>
                <w:b w:val="0"/>
              </w:rPr>
              <w:t>Convolutional Neural Network</w:t>
            </w:r>
          </w:p>
        </w:tc>
        <w:tc>
          <w:tcPr>
            <w:tcW w:w="3058" w:type="dxa"/>
            <w:tcBorders>
              <w:top w:val="nil"/>
              <w:left w:val="nil"/>
              <w:bottom w:val="nil"/>
              <w:right w:val="nil"/>
            </w:tcBorders>
            <w:shd w:val="clear" w:color="auto" w:fill="FFFFFF"/>
            <w:vAlign w:val="center"/>
          </w:tcPr>
          <w:p w14:paraId="2EB745A8">
            <w:pPr>
              <w:pStyle w:val="58"/>
              <w:bidi w:val="0"/>
              <w:rPr>
                <w:b w:val="0"/>
              </w:rPr>
            </w:pPr>
            <w:r>
              <w:rPr>
                <w:b w:val="0"/>
              </w:rPr>
              <w:t>卷积神经网络</w:t>
            </w:r>
          </w:p>
        </w:tc>
      </w:tr>
      <w:tr w14:paraId="1760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nil"/>
              <w:left w:val="nil"/>
              <w:bottom w:val="nil"/>
              <w:right w:val="nil"/>
            </w:tcBorders>
            <w:shd w:val="clear" w:color="auto" w:fill="FFFFFF"/>
            <w:vAlign w:val="center"/>
          </w:tcPr>
          <w:p w14:paraId="2DDC11A5">
            <w:pPr>
              <w:pStyle w:val="58"/>
              <w:bidi w:val="0"/>
              <w:rPr>
                <w:b w:val="0"/>
              </w:rPr>
            </w:pPr>
            <w:r>
              <w:rPr>
                <w:b w:val="0"/>
              </w:rPr>
              <w:t>ResNet18</w:t>
            </w:r>
          </w:p>
        </w:tc>
        <w:tc>
          <w:tcPr>
            <w:tcW w:w="3968" w:type="dxa"/>
            <w:tcBorders>
              <w:top w:val="nil"/>
              <w:left w:val="nil"/>
              <w:bottom w:val="nil"/>
              <w:right w:val="nil"/>
            </w:tcBorders>
            <w:shd w:val="clear" w:color="auto" w:fill="FFFFFF"/>
            <w:vAlign w:val="center"/>
          </w:tcPr>
          <w:p w14:paraId="68180974">
            <w:pPr>
              <w:pStyle w:val="58"/>
              <w:bidi w:val="0"/>
              <w:rPr>
                <w:b w:val="0"/>
              </w:rPr>
            </w:pPr>
            <w:r>
              <w:rPr>
                <w:b w:val="0"/>
              </w:rPr>
              <w:t>Residual Network 18</w:t>
            </w:r>
          </w:p>
        </w:tc>
        <w:tc>
          <w:tcPr>
            <w:tcW w:w="3058" w:type="dxa"/>
            <w:tcBorders>
              <w:top w:val="nil"/>
              <w:left w:val="nil"/>
              <w:bottom w:val="nil"/>
              <w:right w:val="nil"/>
            </w:tcBorders>
            <w:shd w:val="clear" w:color="auto" w:fill="FFFFFF"/>
            <w:vAlign w:val="center"/>
          </w:tcPr>
          <w:p w14:paraId="113C467E">
            <w:pPr>
              <w:pStyle w:val="58"/>
              <w:bidi w:val="0"/>
              <w:rPr>
                <w:b w:val="0"/>
              </w:rPr>
            </w:pPr>
            <w:r>
              <w:rPr>
                <w:b w:val="0"/>
              </w:rPr>
              <w:t>残差网络18</w:t>
            </w:r>
          </w:p>
        </w:tc>
      </w:tr>
      <w:tr w14:paraId="69A3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8" w:type="dxa"/>
            <w:tcBorders>
              <w:top w:val="nil"/>
              <w:left w:val="nil"/>
              <w:bottom w:val="nil"/>
              <w:right w:val="nil"/>
            </w:tcBorders>
            <w:shd w:val="clear" w:color="auto" w:fill="FFFFFF"/>
            <w:vAlign w:val="center"/>
          </w:tcPr>
          <w:p w14:paraId="67D89BD5">
            <w:pPr>
              <w:pStyle w:val="58"/>
              <w:bidi w:val="0"/>
              <w:rPr>
                <w:b w:val="0"/>
              </w:rPr>
            </w:pPr>
            <w:r>
              <w:rPr>
                <w:b w:val="0"/>
              </w:rPr>
              <w:t>MobileNetV2</w:t>
            </w:r>
          </w:p>
        </w:tc>
        <w:tc>
          <w:tcPr>
            <w:tcW w:w="3968" w:type="dxa"/>
            <w:tcBorders>
              <w:top w:val="nil"/>
              <w:left w:val="nil"/>
              <w:bottom w:val="nil"/>
              <w:right w:val="nil"/>
            </w:tcBorders>
            <w:shd w:val="clear" w:color="auto" w:fill="FFFFFF"/>
            <w:vAlign w:val="center"/>
          </w:tcPr>
          <w:p w14:paraId="16F92184">
            <w:pPr>
              <w:pStyle w:val="58"/>
              <w:bidi w:val="0"/>
              <w:rPr>
                <w:b w:val="0"/>
              </w:rPr>
            </w:pPr>
            <w:r>
              <w:rPr>
                <w:b w:val="0"/>
              </w:rPr>
              <w:t>Mobile Network V2</w:t>
            </w:r>
          </w:p>
        </w:tc>
        <w:tc>
          <w:tcPr>
            <w:tcW w:w="3058" w:type="dxa"/>
            <w:tcBorders>
              <w:top w:val="nil"/>
              <w:left w:val="nil"/>
              <w:bottom w:val="nil"/>
              <w:right w:val="nil"/>
            </w:tcBorders>
            <w:shd w:val="clear" w:color="auto" w:fill="FFFFFF"/>
            <w:vAlign w:val="center"/>
          </w:tcPr>
          <w:p w14:paraId="0BC6570F">
            <w:pPr>
              <w:pStyle w:val="58"/>
              <w:bidi w:val="0"/>
              <w:rPr>
                <w:b w:val="0"/>
              </w:rPr>
            </w:pPr>
            <w:r>
              <w:rPr>
                <w:b w:val="0"/>
              </w:rPr>
              <w:t>移动网络V2</w:t>
            </w:r>
          </w:p>
        </w:tc>
      </w:tr>
      <w:tr w14:paraId="56DD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1A65CC5E">
            <w:pPr>
              <w:pStyle w:val="58"/>
              <w:bidi w:val="0"/>
              <w:rPr>
                <w:b w:val="0"/>
              </w:rPr>
            </w:pPr>
            <w:r>
              <w:rPr>
                <w:b w:val="0"/>
              </w:rPr>
              <w:t>Non-IID</w:t>
            </w:r>
          </w:p>
        </w:tc>
        <w:tc>
          <w:tcPr>
            <w:tcW w:w="3968" w:type="dxa"/>
            <w:tcBorders>
              <w:top w:val="nil"/>
              <w:left w:val="nil"/>
              <w:bottom w:val="nil"/>
              <w:right w:val="nil"/>
            </w:tcBorders>
            <w:shd w:val="clear" w:color="auto" w:fill="FFFFFF"/>
            <w:vAlign w:val="center"/>
          </w:tcPr>
          <w:p w14:paraId="3509E565">
            <w:pPr>
              <w:pStyle w:val="58"/>
              <w:bidi w:val="0"/>
              <w:rPr>
                <w:b w:val="0"/>
              </w:rPr>
            </w:pPr>
            <w:r>
              <w:rPr>
                <w:b w:val="0"/>
              </w:rPr>
              <w:t>Non-Independent and Identically Distributed</w:t>
            </w:r>
          </w:p>
        </w:tc>
        <w:tc>
          <w:tcPr>
            <w:tcW w:w="3058" w:type="dxa"/>
            <w:tcBorders>
              <w:top w:val="nil"/>
              <w:left w:val="nil"/>
              <w:bottom w:val="nil"/>
              <w:right w:val="nil"/>
            </w:tcBorders>
            <w:shd w:val="clear" w:color="auto" w:fill="FFFFFF"/>
            <w:vAlign w:val="center"/>
          </w:tcPr>
          <w:p w14:paraId="4F292708">
            <w:pPr>
              <w:pStyle w:val="58"/>
              <w:bidi w:val="0"/>
              <w:rPr>
                <w:b w:val="0"/>
              </w:rPr>
            </w:pPr>
            <w:r>
              <w:rPr>
                <w:b w:val="0"/>
              </w:rPr>
              <w:t>非独立同分布</w:t>
            </w:r>
          </w:p>
        </w:tc>
      </w:tr>
      <w:tr w14:paraId="7A7C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6AFED8BE">
            <w:pPr>
              <w:pStyle w:val="58"/>
              <w:bidi w:val="0"/>
              <w:rPr>
                <w:b w:val="0"/>
              </w:rPr>
            </w:pPr>
            <w:r>
              <w:rPr>
                <w:b w:val="0"/>
              </w:rPr>
              <w:t>CIFAR-10</w:t>
            </w:r>
          </w:p>
        </w:tc>
        <w:tc>
          <w:tcPr>
            <w:tcW w:w="3968" w:type="dxa"/>
            <w:tcBorders>
              <w:top w:val="nil"/>
              <w:left w:val="nil"/>
              <w:bottom w:val="nil"/>
              <w:right w:val="nil"/>
            </w:tcBorders>
            <w:shd w:val="clear" w:color="auto" w:fill="FFFFFF"/>
            <w:vAlign w:val="center"/>
          </w:tcPr>
          <w:p w14:paraId="359045C2">
            <w:pPr>
              <w:pStyle w:val="58"/>
              <w:bidi w:val="0"/>
              <w:rPr>
                <w:b w:val="0"/>
              </w:rPr>
            </w:pPr>
            <w:r>
              <w:rPr>
                <w:b w:val="0"/>
              </w:rPr>
              <w:t>Canadian Institute for Advanced Research 10-class Image Dataset</w:t>
            </w:r>
          </w:p>
        </w:tc>
        <w:tc>
          <w:tcPr>
            <w:tcW w:w="3058" w:type="dxa"/>
            <w:tcBorders>
              <w:top w:val="nil"/>
              <w:left w:val="nil"/>
              <w:bottom w:val="nil"/>
              <w:right w:val="nil"/>
            </w:tcBorders>
            <w:shd w:val="clear" w:color="auto" w:fill="FFFFFF"/>
            <w:vAlign w:val="center"/>
          </w:tcPr>
          <w:p w14:paraId="6453C935">
            <w:pPr>
              <w:pStyle w:val="58"/>
              <w:bidi w:val="0"/>
              <w:rPr>
                <w:b w:val="0"/>
              </w:rPr>
            </w:pPr>
            <w:r>
              <w:rPr>
                <w:b w:val="0"/>
              </w:rPr>
              <w:t>加拿大高级研究院10类图像数据集</w:t>
            </w:r>
          </w:p>
        </w:tc>
      </w:tr>
      <w:tr w14:paraId="2B83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11189651">
            <w:pPr>
              <w:pStyle w:val="58"/>
              <w:bidi w:val="0"/>
              <w:rPr>
                <w:rFonts w:hint="eastAsia" w:eastAsia="宋体"/>
                <w:b w:val="0"/>
                <w:lang w:val="en-US" w:eastAsia="zh-CN"/>
              </w:rPr>
            </w:pPr>
            <w:r>
              <w:rPr>
                <w:rFonts w:hint="eastAsia"/>
                <w:b w:val="0"/>
                <w:lang w:val="en-US" w:eastAsia="zh-CN"/>
              </w:rPr>
              <w:t>FL</w:t>
            </w:r>
          </w:p>
        </w:tc>
        <w:tc>
          <w:tcPr>
            <w:tcW w:w="3968" w:type="dxa"/>
            <w:tcBorders>
              <w:top w:val="nil"/>
              <w:left w:val="nil"/>
              <w:bottom w:val="nil"/>
              <w:right w:val="nil"/>
            </w:tcBorders>
            <w:shd w:val="clear" w:color="auto" w:fill="FFFFFF"/>
            <w:vAlign w:val="center"/>
          </w:tcPr>
          <w:p w14:paraId="131D0E8F">
            <w:pPr>
              <w:pStyle w:val="58"/>
              <w:bidi w:val="0"/>
              <w:rPr>
                <w:rFonts w:hint="eastAsia" w:eastAsia="宋体"/>
                <w:b w:val="0"/>
                <w:lang w:val="en-US" w:eastAsia="zh-CN"/>
              </w:rPr>
            </w:pPr>
            <w:r>
              <w:rPr>
                <w:rFonts w:hint="eastAsia"/>
                <w:b w:val="0"/>
                <w:lang w:val="en-US" w:eastAsia="zh-CN"/>
              </w:rPr>
              <w:t>Federated Learning</w:t>
            </w:r>
          </w:p>
        </w:tc>
        <w:tc>
          <w:tcPr>
            <w:tcW w:w="3058" w:type="dxa"/>
            <w:tcBorders>
              <w:top w:val="nil"/>
              <w:left w:val="nil"/>
              <w:bottom w:val="nil"/>
              <w:right w:val="nil"/>
            </w:tcBorders>
            <w:shd w:val="clear" w:color="auto" w:fill="FFFFFF"/>
            <w:vAlign w:val="center"/>
          </w:tcPr>
          <w:p w14:paraId="6595BDBB">
            <w:pPr>
              <w:pStyle w:val="58"/>
              <w:bidi w:val="0"/>
              <w:rPr>
                <w:rFonts w:hint="eastAsia" w:eastAsia="宋体"/>
                <w:b w:val="0"/>
                <w:lang w:val="en-US" w:eastAsia="zh-CN"/>
              </w:rPr>
            </w:pPr>
            <w:r>
              <w:rPr>
                <w:rFonts w:hint="eastAsia"/>
                <w:b w:val="0"/>
                <w:lang w:val="en-US" w:eastAsia="zh-CN"/>
              </w:rPr>
              <w:t>联邦学习</w:t>
            </w:r>
          </w:p>
        </w:tc>
      </w:tr>
      <w:tr w14:paraId="1070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2E19CA90">
            <w:pPr>
              <w:pStyle w:val="58"/>
              <w:bidi w:val="0"/>
              <w:rPr>
                <w:rFonts w:hint="eastAsia" w:eastAsia="宋体"/>
                <w:b w:val="0"/>
                <w:lang w:val="en-US" w:eastAsia="zh-CN"/>
              </w:rPr>
            </w:pPr>
            <w:r>
              <w:rPr>
                <w:rFonts w:hint="eastAsia"/>
                <w:b w:val="0"/>
                <w:lang w:val="en-US" w:eastAsia="zh-CN"/>
              </w:rPr>
              <w:t>Mixup</w:t>
            </w:r>
          </w:p>
        </w:tc>
        <w:tc>
          <w:tcPr>
            <w:tcW w:w="3968" w:type="dxa"/>
            <w:tcBorders>
              <w:top w:val="nil"/>
              <w:left w:val="nil"/>
              <w:bottom w:val="nil"/>
              <w:right w:val="nil"/>
            </w:tcBorders>
            <w:shd w:val="clear" w:color="auto" w:fill="FFFFFF"/>
            <w:vAlign w:val="center"/>
          </w:tcPr>
          <w:p w14:paraId="58C7A250">
            <w:pPr>
              <w:pStyle w:val="58"/>
              <w:bidi w:val="0"/>
              <w:rPr>
                <w:rFonts w:hint="eastAsia" w:eastAsia="宋体"/>
                <w:b w:val="0"/>
                <w:lang w:val="en-US" w:eastAsia="zh-CN"/>
              </w:rPr>
            </w:pPr>
            <w:r>
              <w:rPr>
                <w:rFonts w:hint="eastAsia"/>
                <w:b w:val="0"/>
                <w:lang w:val="en-US" w:eastAsia="zh-CN"/>
              </w:rPr>
              <w:t>Mixup Data Augmentation</w:t>
            </w:r>
          </w:p>
        </w:tc>
        <w:tc>
          <w:tcPr>
            <w:tcW w:w="3058" w:type="dxa"/>
            <w:tcBorders>
              <w:top w:val="nil"/>
              <w:left w:val="nil"/>
              <w:bottom w:val="nil"/>
              <w:right w:val="nil"/>
            </w:tcBorders>
            <w:shd w:val="clear" w:color="auto" w:fill="FFFFFF"/>
            <w:vAlign w:val="center"/>
          </w:tcPr>
          <w:p w14:paraId="3CBF3F9F">
            <w:pPr>
              <w:pStyle w:val="58"/>
              <w:bidi w:val="0"/>
              <w:rPr>
                <w:rFonts w:hint="eastAsia" w:eastAsia="宋体"/>
                <w:b w:val="0"/>
                <w:lang w:val="en-US" w:eastAsia="zh-CN"/>
              </w:rPr>
            </w:pPr>
            <w:r>
              <w:rPr>
                <w:rFonts w:hint="eastAsia"/>
                <w:b w:val="0"/>
                <w:lang w:val="en-US" w:eastAsia="zh-CN"/>
              </w:rPr>
              <w:t>混合数据增强</w:t>
            </w:r>
          </w:p>
        </w:tc>
      </w:tr>
      <w:tr w14:paraId="6581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24F61F7A">
            <w:pPr>
              <w:pStyle w:val="58"/>
              <w:bidi w:val="0"/>
              <w:rPr>
                <w:rFonts w:hint="eastAsia" w:eastAsia="宋体"/>
                <w:b w:val="0"/>
                <w:lang w:val="en-US" w:eastAsia="zh-CN"/>
              </w:rPr>
            </w:pPr>
            <w:r>
              <w:rPr>
                <w:rFonts w:hint="eastAsia"/>
                <w:b w:val="0"/>
                <w:lang w:val="en-US" w:eastAsia="zh-CN"/>
              </w:rPr>
              <w:t>ImageNet</w:t>
            </w:r>
          </w:p>
        </w:tc>
        <w:tc>
          <w:tcPr>
            <w:tcW w:w="3968" w:type="dxa"/>
            <w:tcBorders>
              <w:top w:val="nil"/>
              <w:left w:val="nil"/>
              <w:bottom w:val="nil"/>
              <w:right w:val="nil"/>
            </w:tcBorders>
            <w:shd w:val="clear" w:color="auto" w:fill="FFFFFF"/>
            <w:vAlign w:val="center"/>
          </w:tcPr>
          <w:p w14:paraId="5560A304">
            <w:pPr>
              <w:pStyle w:val="58"/>
              <w:bidi w:val="0"/>
              <w:rPr>
                <w:rFonts w:hint="eastAsia" w:eastAsia="宋体"/>
                <w:b w:val="0"/>
                <w:lang w:val="en-US" w:eastAsia="zh-CN"/>
              </w:rPr>
            </w:pPr>
            <w:r>
              <w:rPr>
                <w:rFonts w:hint="eastAsia"/>
                <w:b w:val="0"/>
                <w:lang w:val="en-US" w:eastAsia="zh-CN"/>
              </w:rPr>
              <w:t>ImageNet Large Scale Visual Recognition Challenge</w:t>
            </w:r>
          </w:p>
        </w:tc>
        <w:tc>
          <w:tcPr>
            <w:tcW w:w="3058" w:type="dxa"/>
            <w:tcBorders>
              <w:top w:val="nil"/>
              <w:left w:val="nil"/>
              <w:bottom w:val="nil"/>
              <w:right w:val="nil"/>
            </w:tcBorders>
            <w:shd w:val="clear" w:color="auto" w:fill="FFFFFF"/>
            <w:vAlign w:val="center"/>
          </w:tcPr>
          <w:p w14:paraId="1BC0A3D0">
            <w:pPr>
              <w:pStyle w:val="58"/>
              <w:bidi w:val="0"/>
              <w:rPr>
                <w:rFonts w:hint="eastAsia" w:eastAsia="宋体"/>
                <w:b w:val="0"/>
                <w:lang w:val="en-US" w:eastAsia="zh-CN"/>
              </w:rPr>
            </w:pPr>
            <w:r>
              <w:rPr>
                <w:rFonts w:hint="eastAsia"/>
                <w:b w:val="0"/>
                <w:lang w:val="en-US" w:eastAsia="zh-CN"/>
              </w:rPr>
              <w:t>大规模视觉识别数据集</w:t>
            </w:r>
          </w:p>
        </w:tc>
      </w:tr>
      <w:tr w14:paraId="65C1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378DE657">
            <w:pPr>
              <w:pStyle w:val="58"/>
              <w:bidi w:val="0"/>
              <w:rPr>
                <w:rFonts w:hint="eastAsia" w:eastAsia="宋体"/>
                <w:b w:val="0"/>
                <w:lang w:val="en-US" w:eastAsia="zh-CN"/>
              </w:rPr>
            </w:pPr>
            <w:r>
              <w:rPr>
                <w:rFonts w:hint="eastAsia"/>
                <w:b w:val="0"/>
                <w:lang w:val="en-US" w:eastAsia="zh-CN"/>
              </w:rPr>
              <w:t>GPU</w:t>
            </w:r>
          </w:p>
        </w:tc>
        <w:tc>
          <w:tcPr>
            <w:tcW w:w="3968" w:type="dxa"/>
            <w:tcBorders>
              <w:top w:val="nil"/>
              <w:left w:val="nil"/>
              <w:bottom w:val="nil"/>
              <w:right w:val="nil"/>
            </w:tcBorders>
            <w:shd w:val="clear" w:color="auto" w:fill="FFFFFF"/>
            <w:vAlign w:val="center"/>
          </w:tcPr>
          <w:p w14:paraId="4BDA52B4">
            <w:pPr>
              <w:pStyle w:val="58"/>
              <w:bidi w:val="0"/>
              <w:rPr>
                <w:rFonts w:hint="eastAsia" w:eastAsia="宋体"/>
                <w:b w:val="0"/>
                <w:lang w:val="en-US" w:eastAsia="zh-CN"/>
              </w:rPr>
            </w:pPr>
            <w:r>
              <w:rPr>
                <w:rFonts w:hint="eastAsia"/>
                <w:b w:val="0"/>
                <w:lang w:val="en-US" w:eastAsia="zh-CN"/>
              </w:rPr>
              <w:t>Graphics Processing Unit</w:t>
            </w:r>
          </w:p>
        </w:tc>
        <w:tc>
          <w:tcPr>
            <w:tcW w:w="3058" w:type="dxa"/>
            <w:tcBorders>
              <w:top w:val="nil"/>
              <w:left w:val="nil"/>
              <w:bottom w:val="nil"/>
              <w:right w:val="nil"/>
            </w:tcBorders>
            <w:shd w:val="clear" w:color="auto" w:fill="FFFFFF"/>
            <w:vAlign w:val="center"/>
          </w:tcPr>
          <w:p w14:paraId="495E971A">
            <w:pPr>
              <w:pStyle w:val="58"/>
              <w:bidi w:val="0"/>
              <w:rPr>
                <w:rFonts w:hint="eastAsia" w:eastAsia="宋体"/>
                <w:b w:val="0"/>
                <w:lang w:val="en-US" w:eastAsia="zh-CN"/>
              </w:rPr>
            </w:pPr>
            <w:r>
              <w:rPr>
                <w:rFonts w:hint="eastAsia"/>
                <w:b w:val="0"/>
                <w:lang w:val="en-US" w:eastAsia="zh-CN"/>
              </w:rPr>
              <w:t>图形处理器</w:t>
            </w:r>
          </w:p>
        </w:tc>
      </w:tr>
      <w:tr w14:paraId="7FC5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5135E0D2">
            <w:pPr>
              <w:pStyle w:val="58"/>
              <w:bidi w:val="0"/>
              <w:rPr>
                <w:rFonts w:hint="eastAsia" w:eastAsia="宋体"/>
                <w:b w:val="0"/>
                <w:lang w:val="en-US" w:eastAsia="zh-CN"/>
              </w:rPr>
            </w:pPr>
            <w:r>
              <w:rPr>
                <w:rFonts w:hint="eastAsia"/>
                <w:b w:val="0"/>
                <w:lang w:val="en-US" w:eastAsia="zh-CN"/>
              </w:rPr>
              <w:t>Dirichlet</w:t>
            </w:r>
          </w:p>
        </w:tc>
        <w:tc>
          <w:tcPr>
            <w:tcW w:w="3968" w:type="dxa"/>
            <w:tcBorders>
              <w:top w:val="nil"/>
              <w:left w:val="nil"/>
              <w:bottom w:val="nil"/>
              <w:right w:val="nil"/>
            </w:tcBorders>
            <w:shd w:val="clear" w:color="auto" w:fill="FFFFFF"/>
            <w:vAlign w:val="center"/>
          </w:tcPr>
          <w:p w14:paraId="465DCEB8">
            <w:pPr>
              <w:pStyle w:val="58"/>
              <w:bidi w:val="0"/>
              <w:rPr>
                <w:rFonts w:hint="eastAsia" w:eastAsia="宋体"/>
                <w:b w:val="0"/>
                <w:lang w:val="en-US" w:eastAsia="zh-CN"/>
              </w:rPr>
            </w:pPr>
            <w:r>
              <w:rPr>
                <w:rFonts w:hint="eastAsia"/>
                <w:b w:val="0"/>
                <w:lang w:val="en-US" w:eastAsia="zh-CN"/>
              </w:rPr>
              <w:t>Dirichlet Distribution</w:t>
            </w:r>
          </w:p>
        </w:tc>
        <w:tc>
          <w:tcPr>
            <w:tcW w:w="3058" w:type="dxa"/>
            <w:tcBorders>
              <w:top w:val="nil"/>
              <w:left w:val="nil"/>
              <w:bottom w:val="nil"/>
              <w:right w:val="nil"/>
            </w:tcBorders>
            <w:shd w:val="clear" w:color="auto" w:fill="FFFFFF"/>
            <w:vAlign w:val="center"/>
          </w:tcPr>
          <w:p w14:paraId="6DE9238E">
            <w:pPr>
              <w:pStyle w:val="58"/>
              <w:bidi w:val="0"/>
              <w:rPr>
                <w:rFonts w:hint="eastAsia" w:eastAsia="宋体"/>
                <w:b w:val="0"/>
                <w:lang w:val="en-US" w:eastAsia="zh-CN"/>
              </w:rPr>
            </w:pPr>
            <w:r>
              <w:rPr>
                <w:rFonts w:hint="eastAsia"/>
                <w:b w:val="0"/>
                <w:lang w:val="en-US" w:eastAsia="zh-CN"/>
              </w:rPr>
              <w:t>Dirichlet分布</w:t>
            </w:r>
          </w:p>
        </w:tc>
      </w:tr>
      <w:tr w14:paraId="5F60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nil"/>
              <w:right w:val="nil"/>
            </w:tcBorders>
            <w:shd w:val="clear" w:color="auto" w:fill="FFFFFF"/>
            <w:vAlign w:val="center"/>
          </w:tcPr>
          <w:p w14:paraId="6A673BC7">
            <w:pPr>
              <w:pStyle w:val="58"/>
              <w:bidi w:val="0"/>
              <w:rPr>
                <w:rFonts w:hint="eastAsia" w:eastAsia="宋体"/>
                <w:b w:val="0"/>
                <w:lang w:val="en-US" w:eastAsia="zh-CN"/>
              </w:rPr>
            </w:pPr>
            <w:r>
              <w:rPr>
                <w:rFonts w:hint="eastAsia"/>
                <w:b w:val="0"/>
                <w:lang w:val="en-US" w:eastAsia="zh-CN"/>
              </w:rPr>
              <w:t>GUI</w:t>
            </w:r>
          </w:p>
        </w:tc>
        <w:tc>
          <w:tcPr>
            <w:tcW w:w="3968" w:type="dxa"/>
            <w:tcBorders>
              <w:top w:val="nil"/>
              <w:left w:val="nil"/>
              <w:bottom w:val="nil"/>
              <w:right w:val="nil"/>
            </w:tcBorders>
            <w:shd w:val="clear" w:color="auto" w:fill="FFFFFF"/>
            <w:vAlign w:val="center"/>
          </w:tcPr>
          <w:p w14:paraId="2CD4AEC4">
            <w:pPr>
              <w:pStyle w:val="58"/>
              <w:bidi w:val="0"/>
              <w:rPr>
                <w:rFonts w:hint="eastAsia" w:eastAsia="宋体"/>
                <w:b w:val="0"/>
                <w:lang w:val="en-US" w:eastAsia="zh-CN"/>
              </w:rPr>
            </w:pPr>
            <w:r>
              <w:rPr>
                <w:rFonts w:hint="eastAsia"/>
                <w:b w:val="0"/>
                <w:lang w:val="en-US" w:eastAsia="zh-CN"/>
              </w:rPr>
              <w:t>Graphical User Interface</w:t>
            </w:r>
          </w:p>
        </w:tc>
        <w:tc>
          <w:tcPr>
            <w:tcW w:w="3058" w:type="dxa"/>
            <w:tcBorders>
              <w:top w:val="nil"/>
              <w:left w:val="nil"/>
              <w:bottom w:val="nil"/>
              <w:right w:val="nil"/>
            </w:tcBorders>
            <w:shd w:val="clear" w:color="auto" w:fill="FFFFFF"/>
            <w:vAlign w:val="center"/>
          </w:tcPr>
          <w:p w14:paraId="18008EE6">
            <w:pPr>
              <w:pStyle w:val="58"/>
              <w:bidi w:val="0"/>
              <w:rPr>
                <w:rFonts w:hint="eastAsia" w:eastAsia="宋体"/>
                <w:b w:val="0"/>
                <w:lang w:val="en-US" w:eastAsia="zh-CN"/>
              </w:rPr>
            </w:pPr>
            <w:r>
              <w:rPr>
                <w:rFonts w:hint="eastAsia"/>
                <w:b w:val="0"/>
                <w:lang w:val="en-US" w:eastAsia="zh-CN"/>
              </w:rPr>
              <w:t>图形用户界面</w:t>
            </w:r>
          </w:p>
        </w:tc>
      </w:tr>
      <w:tr w14:paraId="4AD0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48" w:type="dxa"/>
            <w:tcBorders>
              <w:top w:val="nil"/>
              <w:left w:val="nil"/>
              <w:bottom w:val="single" w:color="000000" w:sz="12" w:space="0"/>
              <w:right w:val="nil"/>
            </w:tcBorders>
            <w:shd w:val="clear" w:color="auto" w:fill="FFFFFF"/>
            <w:vAlign w:val="center"/>
          </w:tcPr>
          <w:p w14:paraId="262FFEF6">
            <w:pPr>
              <w:pStyle w:val="58"/>
              <w:bidi w:val="0"/>
              <w:rPr>
                <w:rFonts w:hint="eastAsia" w:eastAsia="宋体"/>
                <w:b w:val="0"/>
                <w:lang w:val="en-US" w:eastAsia="zh-CN"/>
              </w:rPr>
            </w:pPr>
            <w:r>
              <w:rPr>
                <w:rFonts w:hint="eastAsia"/>
                <w:b w:val="0"/>
                <w:lang w:val="en-US" w:eastAsia="zh-CN"/>
              </w:rPr>
              <w:t>Top-K</w:t>
            </w:r>
          </w:p>
        </w:tc>
        <w:tc>
          <w:tcPr>
            <w:tcW w:w="3968" w:type="dxa"/>
            <w:tcBorders>
              <w:top w:val="nil"/>
              <w:left w:val="nil"/>
              <w:bottom w:val="single" w:color="000000" w:sz="12" w:space="0"/>
              <w:right w:val="nil"/>
            </w:tcBorders>
            <w:shd w:val="clear" w:color="auto" w:fill="FFFFFF"/>
            <w:vAlign w:val="center"/>
          </w:tcPr>
          <w:p w14:paraId="5CF7F88B">
            <w:pPr>
              <w:pStyle w:val="58"/>
              <w:bidi w:val="0"/>
              <w:rPr>
                <w:rFonts w:hint="eastAsia" w:eastAsia="宋体"/>
                <w:b w:val="0"/>
                <w:lang w:val="en-US" w:eastAsia="zh-CN"/>
              </w:rPr>
            </w:pPr>
            <w:r>
              <w:rPr>
                <w:rFonts w:hint="eastAsia"/>
                <w:b w:val="0"/>
                <w:lang w:val="en-US" w:eastAsia="zh-CN"/>
              </w:rPr>
              <w:t>Top-K Accuracy</w:t>
            </w:r>
          </w:p>
        </w:tc>
        <w:tc>
          <w:tcPr>
            <w:tcW w:w="3058" w:type="dxa"/>
            <w:tcBorders>
              <w:top w:val="nil"/>
              <w:left w:val="nil"/>
              <w:bottom w:val="single" w:color="000000" w:sz="12" w:space="0"/>
              <w:right w:val="nil"/>
            </w:tcBorders>
            <w:shd w:val="clear" w:color="auto" w:fill="FFFFFF"/>
            <w:vAlign w:val="center"/>
          </w:tcPr>
          <w:p w14:paraId="7798F7AA">
            <w:pPr>
              <w:pStyle w:val="58"/>
              <w:bidi w:val="0"/>
              <w:rPr>
                <w:rFonts w:hint="eastAsia" w:eastAsia="宋体"/>
                <w:b w:val="0"/>
                <w:lang w:val="en-US" w:eastAsia="zh-CN"/>
              </w:rPr>
            </w:pPr>
            <w:r>
              <w:rPr>
                <w:rFonts w:hint="eastAsia"/>
                <w:b w:val="0"/>
                <w:lang w:val="en-US" w:eastAsia="zh-CN"/>
              </w:rPr>
              <w:t>Top-K准确率</w:t>
            </w:r>
          </w:p>
        </w:tc>
      </w:tr>
    </w:tbl>
    <w:p w14:paraId="5752DF6C">
      <w:pPr>
        <w:ind w:left="0" w:leftChars="0" w:firstLine="0" w:firstLineChars="0"/>
        <w:rPr>
          <w:szCs w:val="28"/>
        </w:rPr>
      </w:pPr>
    </w:p>
    <w:p w14:paraId="2028C37C">
      <w:pPr>
        <w:widowControl/>
        <w:spacing w:line="240" w:lineRule="auto"/>
        <w:ind w:firstLine="0" w:firstLineChars="0"/>
        <w:jc w:val="left"/>
        <w:sectPr>
          <w:headerReference r:id="rId18" w:type="default"/>
          <w:footerReference r:id="rId20" w:type="default"/>
          <w:headerReference r:id="rId19" w:type="even"/>
          <w:footerReference r:id="rId21" w:type="even"/>
          <w:pgSz w:w="11906" w:h="16838"/>
          <w:pgMar w:top="1701" w:right="1474" w:bottom="1418" w:left="1474" w:header="1134" w:footer="992" w:gutter="0"/>
          <w:pgBorders>
            <w:top w:val="none" w:sz="0" w:space="0"/>
            <w:left w:val="none" w:sz="0" w:space="0"/>
            <w:bottom w:val="none" w:sz="0" w:space="0"/>
            <w:right w:val="none" w:sz="0" w:space="0"/>
          </w:pgBorders>
          <w:pgNumType w:fmt="upperRoman"/>
          <w:cols w:space="720" w:num="1"/>
          <w:docGrid w:linePitch="326" w:charSpace="0"/>
        </w:sectPr>
      </w:pPr>
    </w:p>
    <w:p w14:paraId="074A8A22">
      <w:pPr>
        <w:pStyle w:val="2"/>
        <w:spacing w:before="480" w:after="240"/>
      </w:pPr>
      <w:bookmarkStart w:id="22" w:name="_Toc15513"/>
      <w:r>
        <w:rPr>
          <w:rFonts w:hint="eastAsia"/>
        </w:rPr>
        <w:t>术语表</w:t>
      </w:r>
      <w:bookmarkEnd w:id="22"/>
    </w:p>
    <w:p w14:paraId="048FBB56">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联邦学习</w:t>
      </w:r>
      <w:r>
        <w:rPr>
          <w:rFonts w:hint="eastAsia"/>
          <w:lang w:eastAsia="zh-CN"/>
        </w:rPr>
        <w:t>（</w:t>
      </w:r>
      <w:r>
        <w:t>Federated Learning</w:t>
      </w:r>
      <w:r>
        <w:rPr>
          <w:rFonts w:hint="eastAsia"/>
          <w:lang w:eastAsia="zh-CN"/>
        </w:rPr>
        <w:t>）</w:t>
      </w:r>
      <w:r>
        <w:t>：一种分布式机器学习范式，允许多个客户端在本地训练模型并仅共享模型参数更新，从而在保护数据隐私的前提下实现协同建模。</w:t>
      </w:r>
    </w:p>
    <w:p w14:paraId="6BB5C4C8">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FedAvg</w:t>
      </w:r>
      <w:r>
        <w:rPr>
          <w:rFonts w:hint="eastAsia"/>
          <w:lang w:eastAsia="zh-CN"/>
        </w:rPr>
        <w:t>（</w:t>
      </w:r>
      <w:r>
        <w:t>Federated Averaging</w:t>
      </w:r>
      <w:r>
        <w:rPr>
          <w:rFonts w:hint="eastAsia"/>
          <w:lang w:eastAsia="zh-CN"/>
        </w:rPr>
        <w:t>）</w:t>
      </w:r>
      <w:r>
        <w:t>：联邦平均算法，联邦学习中最基础且应用最广泛的参数聚合策略，通过对各客户端本地训练的模型参数进行加权平均来更新全局模型。</w:t>
      </w:r>
    </w:p>
    <w:p w14:paraId="3B3AD53B">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FedProx</w:t>
      </w:r>
      <w:r>
        <w:rPr>
          <w:rFonts w:hint="eastAsia"/>
          <w:lang w:eastAsia="zh-CN"/>
        </w:rPr>
        <w:t>（</w:t>
      </w:r>
      <w:r>
        <w:t>Federated Proximal</w:t>
      </w:r>
      <w:r>
        <w:rPr>
          <w:rFonts w:hint="eastAsia"/>
          <w:lang w:eastAsia="zh-CN"/>
        </w:rPr>
        <w:t>）</w:t>
      </w:r>
      <w:r>
        <w:t>：联邦近端算法，在FedAvg基础上引入近端约束项，通过限制本地模型参数在训练过程中偏离全局模型的幅度来缓解客户端漂移问题。</w:t>
      </w:r>
    </w:p>
    <w:p w14:paraId="197960CB">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非独立同分布</w:t>
      </w:r>
      <w:r>
        <w:rPr>
          <w:rFonts w:hint="eastAsia"/>
          <w:lang w:eastAsia="zh-CN"/>
        </w:rPr>
        <w:t>（</w:t>
      </w:r>
      <w:r>
        <w:t>Non-IID</w:t>
      </w:r>
      <w:r>
        <w:rPr>
          <w:rFonts w:hint="eastAsia"/>
          <w:lang w:eastAsia="zh-CN"/>
        </w:rPr>
        <w:t>）</w:t>
      </w:r>
      <w:r>
        <w:t>：指各客户端本地数据分布与全局数据分布不一致的情形，是导致联邦学习中客户端漂移现象的主要原因。</w:t>
      </w:r>
    </w:p>
    <w:p w14:paraId="503324C3">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客户端漂移</w:t>
      </w:r>
      <w:r>
        <w:rPr>
          <w:rFonts w:hint="eastAsia"/>
          <w:lang w:eastAsia="zh-CN"/>
        </w:rPr>
        <w:t>（</w:t>
      </w:r>
      <w:r>
        <w:t>Client Drift</w:t>
      </w:r>
      <w:r>
        <w:rPr>
          <w:rFonts w:hint="eastAsia"/>
          <w:lang w:eastAsia="zh-CN"/>
        </w:rPr>
        <w:t>）</w:t>
      </w:r>
      <w:r>
        <w:t>：由于各客户端本地数据分布不一致（Non-IID），本地梯度更新方向与全局最优方向产生偏差，导致本地模型逐渐偏离全局最优解的现象。</w:t>
      </w:r>
    </w:p>
    <w:p w14:paraId="624BF890">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近端约束</w:t>
      </w:r>
      <w:r>
        <w:rPr>
          <w:rFonts w:hint="eastAsia"/>
          <w:lang w:eastAsia="zh-CN"/>
        </w:rPr>
        <w:t>（</w:t>
      </w:r>
      <w:r>
        <w:t>Proximal Constraint</w:t>
      </w:r>
      <w:r>
        <w:rPr>
          <w:rFonts w:hint="eastAsia"/>
          <w:lang w:eastAsia="zh-CN"/>
        </w:rPr>
        <w:t>）</w:t>
      </w:r>
      <w:r>
        <w:t>：在本地损失函数中加入的正则化项，通过L2范数惩罚限制本地模型参数与全局模型参数的偏离幅度，是FedProx算法的核心机制。</w:t>
      </w:r>
    </w:p>
    <w:p w14:paraId="4C531F0A">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Mixup：一种数据增强技术，通过对两张图像及其对应标签进行线性插值生成新的虚拟样本，以提升模型在异构数据环境下的泛化能力。</w:t>
      </w:r>
    </w:p>
    <w:p w14:paraId="4205E040">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预训练</w:t>
      </w:r>
      <w:r>
        <w:rPr>
          <w:rFonts w:hint="eastAsia"/>
          <w:lang w:eastAsia="zh-CN"/>
        </w:rPr>
        <w:t>（</w:t>
      </w:r>
      <w:r>
        <w:t>Pre-training</w:t>
      </w:r>
      <w:r>
        <w:rPr>
          <w:rFonts w:hint="eastAsia"/>
          <w:lang w:eastAsia="zh-CN"/>
        </w:rPr>
        <w:t>）</w:t>
      </w:r>
      <w:r>
        <w:t>：在大规模通用数据集（如ImageNet）上进行的先行训练过程，旨在获得蕴含丰富通用视觉特征的预训练权重，用于下游任务的参数初始化。</w:t>
      </w:r>
    </w:p>
    <w:p w14:paraId="21326CDF">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迁移学习</w:t>
      </w:r>
      <w:r>
        <w:rPr>
          <w:rFonts w:hint="eastAsia"/>
          <w:lang w:eastAsia="zh-CN"/>
        </w:rPr>
        <w:t>（</w:t>
      </w:r>
      <w:r>
        <w:t>Transfer Learning</w:t>
      </w:r>
      <w:r>
        <w:rPr>
          <w:rFonts w:hint="eastAsia"/>
          <w:lang w:eastAsia="zh-CN"/>
        </w:rPr>
        <w:t>）</w:t>
      </w:r>
      <w:r>
        <w:t>：将在源域（如ImageNet）上预训练得到的模型参数迁移至目标域任务，使模型无需从头学习通用视觉特征，仅需针对目标任务进行参数微调，从而在小样本条件下快速收敛。</w:t>
      </w:r>
    </w:p>
    <w:p w14:paraId="7F6AB11A">
      <w:pPr>
        <w:keepNext w:val="0"/>
        <w:keepLines w:val="0"/>
        <w:pageBreakBefore w:val="0"/>
        <w:widowControl w:val="0"/>
        <w:kinsoku/>
        <w:wordWrap/>
        <w:overflowPunct/>
        <w:topLinePunct w:val="0"/>
        <w:autoSpaceDE/>
        <w:autoSpaceDN/>
        <w:bidi w:val="0"/>
        <w:adjustRightInd/>
        <w:snapToGrid/>
        <w:ind w:left="240" w:leftChars="100" w:firstLine="0" w:firstLineChars="0"/>
        <w:textAlignment w:val="auto"/>
      </w:pPr>
      <w:r>
        <w:t>Dirichlet分布</w:t>
      </w:r>
      <w:r>
        <w:rPr>
          <w:rFonts w:hint="eastAsia"/>
          <w:lang w:eastAsia="zh-CN"/>
        </w:rPr>
        <w:t>（</w:t>
      </w:r>
      <w:r>
        <w:t>Dirichlet Distribution</w:t>
      </w:r>
      <w:r>
        <w:rPr>
          <w:rFonts w:hint="eastAsia"/>
          <w:lang w:eastAsia="zh-CN"/>
        </w:rPr>
        <w:t>）</w:t>
      </w:r>
      <w:r>
        <w:t>：一种多变量概率分布，本文用于模拟联邦学习中各客户端数据的Non-IID划分，通过控制参数</w:t>
      </w:r>
      <m:oMath>
        <m:r>
          <m:rPr/>
          <w:rPr>
            <w:rFonts w:hint="default" w:ascii="Cambria Math" w:hAnsi="Cambria Math"/>
            <w:sz w:val="24"/>
          </w:rPr>
          <m:t>α</m:t>
        </m:r>
      </m:oMath>
      <w:r>
        <w:t>调节数据异构程度，</w:t>
      </w:r>
      <m:oMath>
        <m:r>
          <m:rPr/>
          <w:rPr>
            <w:rFonts w:hint="default" w:ascii="Cambria Math" w:hAnsi="Cambria Math"/>
            <w:sz w:val="24"/>
          </w:rPr>
          <m:t>α</m:t>
        </m:r>
      </m:oMath>
      <w:r>
        <w:t>值越小各客户端数据分布差异越大。</w:t>
      </w:r>
    </w:p>
    <w:p w14:paraId="57053226">
      <w:pPr>
        <w:ind w:firstLine="0" w:firstLineChars="0"/>
      </w:pPr>
    </w:p>
    <w:p w14:paraId="47110AC7">
      <w:pPr>
        <w:ind w:firstLine="0" w:firstLineChars="0"/>
        <w:sectPr>
          <w:headerReference r:id="rId22" w:type="default"/>
          <w:footerReference r:id="rId23" w:type="default"/>
          <w:footerReference r:id="rId24" w:type="even"/>
          <w:pgSz w:w="11906" w:h="16838"/>
          <w:pgMar w:top="1701" w:right="1474" w:bottom="1418" w:left="1474" w:header="1134" w:footer="992" w:gutter="0"/>
          <w:pgBorders>
            <w:top w:val="none" w:sz="0" w:space="0"/>
            <w:left w:val="none" w:sz="0" w:space="0"/>
            <w:bottom w:val="none" w:sz="0" w:space="0"/>
            <w:right w:val="none" w:sz="0" w:space="0"/>
          </w:pgBorders>
          <w:pgNumType w:fmt="upperRoman"/>
          <w:cols w:space="720" w:num="1"/>
          <w:docGrid w:linePitch="326" w:charSpace="0"/>
        </w:sectPr>
      </w:pPr>
    </w:p>
    <w:p w14:paraId="1CEE531B">
      <w:pPr>
        <w:pStyle w:val="2"/>
        <w:bidi w:val="0"/>
        <w:spacing w:before="480" w:beforeLines="200" w:after="240" w:afterLines="100"/>
        <w:ind w:firstLine="0"/>
      </w:pPr>
      <w:bookmarkStart w:id="23" w:name="_Toc1626_ai"/>
      <w:bookmarkStart w:id="24" w:name="_Toc1375"/>
      <w:r>
        <w:rPr>
          <w:rFonts w:ascii="Times New Roman" w:hAnsi="Times New Roman" w:eastAsia="黑体" w:cs="Times New Roman"/>
          <w:kern w:val="2"/>
          <w:sz w:val="32"/>
          <w:szCs w:val="24"/>
          <w:lang w:val="zh-CN" w:eastAsia="zh-CN" w:bidi="ar-SA"/>
        </w:rPr>
        <w:t>第1</w:t>
      </w:r>
      <w:bookmarkEnd w:id="23"/>
      <w:r>
        <w:rPr>
          <w:rFonts w:ascii="Times New Roman" w:hAnsi="Times New Roman" w:eastAsia="黑体" w:cs="Times New Roman"/>
          <w:kern w:val="2"/>
          <w:sz w:val="32"/>
          <w:szCs w:val="24"/>
          <w:lang w:val="zh-CN" w:eastAsia="zh-CN" w:bidi="ar-SA"/>
        </w:rPr>
        <w:t>章 绪论</w:t>
      </w:r>
      <w:bookmarkEnd w:id="24"/>
    </w:p>
    <w:p w14:paraId="62EEDDFC">
      <w:pPr>
        <w:pStyle w:val="3"/>
        <w:spacing w:before="240" w:beforeLines="100" w:after="120" w:afterLines="50"/>
        <w:ind w:firstLine="0"/>
        <w:rPr>
          <w:rFonts w:ascii="Times New Roman" w:hAnsi="Times New Roman" w:eastAsia="黑体" w:cs="Times New Roman"/>
          <w:bCs/>
          <w:kern w:val="2"/>
          <w:sz w:val="30"/>
          <w:szCs w:val="32"/>
          <w:lang w:val="zh-CN" w:eastAsia="zh-CN" w:bidi="ar-SA"/>
        </w:rPr>
      </w:pPr>
      <w:bookmarkStart w:id="25" w:name="_Toc15997"/>
      <w:r>
        <w:rPr>
          <w:rFonts w:hint="eastAsia" w:ascii="Times New Roman" w:hAnsi="Times New Roman" w:eastAsia="黑体" w:cs="Times New Roman"/>
          <w:bCs/>
          <w:kern w:val="2"/>
          <w:sz w:val="30"/>
          <w:szCs w:val="32"/>
          <w:lang w:val="zh-CN" w:eastAsia="zh-CN" w:bidi="ar-SA"/>
        </w:rPr>
        <w:t>1.1 选题背景及意义</w:t>
      </w:r>
      <w:bookmarkEnd w:id="25"/>
      <w:bookmarkStart w:id="26" w:name="_Toc2423_ai_ai"/>
      <w:bookmarkEnd w:id="26"/>
    </w:p>
    <w:p w14:paraId="5132B0FE">
      <w:pPr>
        <w:rPr>
          <w:rFonts w:hint="eastAsia" w:cs="Times New Roman"/>
          <w:kern w:val="2"/>
          <w:sz w:val="24"/>
          <w:szCs w:val="24"/>
          <w:lang w:val="en-US" w:eastAsia="zh-CN" w:bidi="ar-SA"/>
        </w:rPr>
      </w:pPr>
      <w:r>
        <w:rPr>
          <w:rFonts w:hint="eastAsia" w:cs="Times New Roman"/>
          <w:kern w:val="2"/>
          <w:sz w:val="24"/>
          <w:szCs w:val="24"/>
          <w:lang w:val="en-US" w:eastAsia="zh-CN" w:bidi="ar-SA"/>
        </w:rPr>
        <w:t>近年来，随着现代农业向智能化与精准化方向演进，利用计算机视觉技术对田间作物进行自动识别与分类已成为智慧农业的核心环节。通过对小麦、水稻及玉米等主要粮食作物的图像进行高效分类，不仅能为农作物的生长监测与产量预测提供数据支持，也是实现农业无人化作业的基础。然而，在实际的边缘农业环境中，由于各生产主体如不同农场或研究机构之间存在严苛的数据隐私保护需求，且偏远农田的通信网络带宽有限，导致海量的作物图像数据难以汇聚到中心服务器进行集中式建模，从而产生了严重的“数据孤岛”问题，这一困境直接制约了深度学习模型的泛化能力与实际部署效果。为此，亟需构建一种兼顾数据隐私保护与模型性能提升的分布式学习范式。</w:t>
      </w:r>
    </w:p>
    <w:p w14:paraId="0F9206D5">
      <w:pPr>
        <w:rPr>
          <w:rFonts w:hint="eastAsia" w:cs="Times New Roman"/>
          <w:kern w:val="2"/>
          <w:sz w:val="24"/>
          <w:szCs w:val="24"/>
          <w:lang w:val="en-US" w:eastAsia="zh-CN" w:bidi="ar-SA"/>
        </w:rPr>
      </w:pPr>
      <w:r>
        <w:rPr>
          <w:rFonts w:hint="eastAsia" w:cs="Times New Roman"/>
          <w:kern w:val="2"/>
          <w:sz w:val="24"/>
          <w:szCs w:val="24"/>
          <w:lang w:val="en-US" w:eastAsia="zh-CN" w:bidi="ar-SA"/>
        </w:rPr>
        <w:t>联邦学习（Federated Learning）作为一种新兴的分布式架构，通过在本地进行模型训练并仅在网络中交互加密参数，为打破农业数据壁垒提供了一条可靠路径（王健宗, 2020; McMahan et al., 2017）。然而，真实的农业生产数据具有高度的非独立同分布Non-IID特征。不同地理节点的作物类别分布往往极不均衡，这种异构性会导致传统FedAvg算法在聚合时产生模型漂移，严重影响全局模型的收敛速度与分类精度。此外，边缘终端算力匮乏，难以支撑复杂的深度网络。因此，针对农业边缘场景下数据隐私、数据异构及算力受限的协同约束，研究一种融合动态近端约束与轻量化特征感知的联邦学习方法，以缓解非独立同分布数据引发的模型漂移问题，为深度学习技术在农业场景中的实际应用提供参考。</w:t>
      </w:r>
    </w:p>
    <w:p w14:paraId="65CC19AD">
      <w:pPr>
        <w:pStyle w:val="3"/>
        <w:spacing w:before="240" w:beforeLines="100" w:after="120" w:afterLines="50"/>
        <w:ind w:firstLine="0"/>
      </w:pPr>
      <w:bookmarkStart w:id="27" w:name="_Toc223595388_ai_ai"/>
      <w:bookmarkStart w:id="28" w:name="_Toc6209_ai_ai"/>
      <w:bookmarkStart w:id="29" w:name="_Toc32449"/>
      <w:bookmarkStart w:id="30" w:name="_Toc8434_ai"/>
      <w:r>
        <w:rPr>
          <w:rFonts w:hint="eastAsia" w:ascii="Times New Roman" w:hAnsi="Times New Roman" w:eastAsia="黑体" w:cs="Times New Roman"/>
          <w:bCs/>
          <w:kern w:val="2"/>
          <w:sz w:val="30"/>
          <w:szCs w:val="32"/>
          <w:lang w:val="zh-CN" w:eastAsia="zh-CN" w:bidi="ar-SA"/>
        </w:rPr>
        <w:t>1.2</w:t>
      </w:r>
      <w:bookmarkEnd w:id="27"/>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国内外研究现状</w:t>
      </w:r>
      <w:bookmarkEnd w:id="28"/>
      <w:bookmarkEnd w:id="29"/>
      <w:bookmarkEnd w:id="30"/>
    </w:p>
    <w:p w14:paraId="5D335610">
      <w:pPr>
        <w:pStyle w:val="4"/>
        <w:spacing w:before="120" w:beforeLines="50"/>
        <w:ind w:firstLine="0"/>
      </w:pPr>
      <w:bookmarkStart w:id="31" w:name="_Toc18763"/>
      <w:r>
        <w:rPr>
          <w:rFonts w:hint="eastAsia" w:ascii="Times New Roman" w:hAnsi="Times New Roman" w:eastAsia="黑体" w:cs="Times New Roman"/>
          <w:kern w:val="2"/>
          <w:sz w:val="28"/>
          <w:szCs w:val="20"/>
          <w:lang w:val="zh-CN" w:eastAsia="zh-CN" w:bidi="ar-SA"/>
        </w:rPr>
        <w:t>1.2.1 联邦学习在农业领域的应用</w:t>
      </w:r>
      <w:bookmarkEnd w:id="31"/>
    </w:p>
    <w:p w14:paraId="5184BECE">
      <w:pPr>
        <w:pStyle w:val="5"/>
      </w:pPr>
      <w:r>
        <w:rPr>
          <w:rFonts w:ascii="宋体" w:eastAsia="宋体" w:cs="宋体"/>
          <w:sz w:val="24"/>
          <w:szCs w:val="24"/>
        </w:rPr>
        <w:t>目前，国内外学者已开始探索联邦学习在分布式农业组织与管理系统中的应用</w:t>
      </w:r>
      <w:r>
        <w:rPr>
          <w:rFonts w:hint="eastAsia" w:ascii="宋体" w:cs="宋体"/>
          <w:sz w:val="24"/>
          <w:szCs w:val="24"/>
          <w:lang w:eastAsia="zh-CN"/>
        </w:rPr>
        <w:t>（</w:t>
      </w:r>
      <w:r>
        <w:rPr>
          <w:rFonts w:hint="default" w:ascii="Times New Roman" w:hAnsi="Times New Roman" w:eastAsia="宋体" w:cs="Times New Roman"/>
          <w:sz w:val="24"/>
          <w:szCs w:val="24"/>
        </w:rPr>
        <w:t>Friha et al., 2021</w:t>
      </w:r>
      <w:r>
        <w:rPr>
          <w:rFonts w:hint="eastAsia" w:cs="Times New Roman"/>
          <w:sz w:val="24"/>
          <w:szCs w:val="24"/>
          <w:lang w:eastAsia="zh-CN"/>
        </w:rPr>
        <w:t>）</w:t>
      </w:r>
      <w:r>
        <w:rPr>
          <w:rFonts w:ascii="宋体" w:eastAsia="宋体" w:cs="宋体"/>
          <w:sz w:val="24"/>
          <w:szCs w:val="24"/>
        </w:rPr>
        <w:t>。相关综述性研究系统梳理了联邦架构在智慧农业中的理论发展与应用实践，阐明了其在降低敏感数据泄漏风险、保护农户权益方面的潜在优势</w:t>
      </w:r>
      <w:r>
        <w:rPr>
          <w:rFonts w:hint="eastAsia" w:ascii="宋体" w:cs="宋体"/>
          <w:sz w:val="24"/>
          <w:szCs w:val="24"/>
          <w:lang w:eastAsia="zh-CN"/>
        </w:rPr>
        <w:t>（</w:t>
      </w:r>
      <w:r>
        <w:rPr>
          <w:rFonts w:ascii="宋体" w:eastAsia="宋体" w:cs="宋体"/>
          <w:sz w:val="24"/>
          <w:szCs w:val="24"/>
        </w:rPr>
        <w:t xml:space="preserve">周传鑫, </w:t>
      </w:r>
      <w:r>
        <w:rPr>
          <w:rFonts w:hint="default" w:ascii="Times New Roman" w:hAnsi="Times New Roman" w:eastAsia="宋体" w:cs="Times New Roman"/>
          <w:sz w:val="24"/>
          <w:szCs w:val="24"/>
        </w:rPr>
        <w:t>2021</w:t>
      </w:r>
      <w:r>
        <w:rPr>
          <w:rFonts w:hint="eastAsia" w:cs="Times New Roman"/>
          <w:sz w:val="24"/>
          <w:szCs w:val="24"/>
          <w:lang w:eastAsia="zh-CN"/>
        </w:rPr>
        <w:t>）</w:t>
      </w:r>
      <w:r>
        <w:rPr>
          <w:rFonts w:ascii="宋体" w:eastAsia="宋体" w:cs="宋体"/>
          <w:sz w:val="24"/>
          <w:szCs w:val="24"/>
        </w:rPr>
        <w:t>。在具体任务落地中，部分学者探讨了将联邦机制引入农业监测设备，以优化边缘节点的计算能效</w:t>
      </w:r>
      <w:r>
        <w:rPr>
          <w:rFonts w:hint="eastAsia" w:ascii="宋体" w:cs="宋体"/>
          <w:sz w:val="24"/>
          <w:szCs w:val="24"/>
          <w:lang w:eastAsia="zh-CN"/>
        </w:rPr>
        <w:t>（</w:t>
      </w:r>
      <w:r>
        <w:rPr>
          <w:rFonts w:ascii="宋体" w:eastAsia="宋体" w:cs="宋体"/>
          <w:sz w:val="24"/>
          <w:szCs w:val="24"/>
        </w:rPr>
        <w:t xml:space="preserve">汤敏睿 等, </w:t>
      </w:r>
      <w:r>
        <w:rPr>
          <w:rFonts w:hint="default" w:ascii="Times New Roman" w:hAnsi="Times New Roman" w:eastAsia="宋体" w:cs="Times New Roman"/>
          <w:sz w:val="24"/>
          <w:szCs w:val="24"/>
        </w:rPr>
        <w:t>2025</w:t>
      </w:r>
      <w:r>
        <w:rPr>
          <w:rFonts w:hint="eastAsia" w:cs="Times New Roman"/>
          <w:sz w:val="24"/>
          <w:szCs w:val="24"/>
          <w:lang w:eastAsia="zh-CN"/>
        </w:rPr>
        <w:t>）</w:t>
      </w:r>
      <w:r>
        <w:rPr>
          <w:rFonts w:ascii="宋体" w:eastAsia="宋体" w:cs="宋体"/>
          <w:sz w:val="24"/>
          <w:szCs w:val="24"/>
        </w:rPr>
        <w:t>。然而，现有方案多基于理想的同分布数据假设，当面对真实农田中高度倾斜的小麦、水稻等作物样本比例时，系统的收敛稳定性仍面临巨大挑战。</w:t>
      </w:r>
    </w:p>
    <w:p w14:paraId="1E5952F2">
      <w:pPr>
        <w:pStyle w:val="4"/>
        <w:spacing w:before="120" w:beforeLines="50"/>
        <w:ind w:firstLine="0"/>
      </w:pPr>
      <w:bookmarkStart w:id="32" w:name="_Toc12132_ai"/>
      <w:bookmarkStart w:id="33" w:name="_Toc7450"/>
      <w:bookmarkStart w:id="34" w:name="_Toc29549_ai"/>
      <w:r>
        <w:rPr>
          <w:rFonts w:hint="eastAsia" w:ascii="Times New Roman" w:hAnsi="Times New Roman" w:eastAsia="黑体" w:cs="Times New Roman"/>
          <w:kern w:val="2"/>
          <w:sz w:val="28"/>
          <w:szCs w:val="20"/>
          <w:lang w:val="zh-CN" w:eastAsia="zh-CN" w:bidi="ar-SA"/>
        </w:rPr>
        <w:t>1.2.2 异构数据下的联邦算法优化</w:t>
      </w:r>
      <w:bookmarkEnd w:id="32"/>
      <w:bookmarkEnd w:id="33"/>
    </w:p>
    <w:p w14:paraId="351A169A">
      <w:pPr>
        <w:pStyle w:val="5"/>
        <w:rPr>
          <w:rFonts w:hint="eastAsia"/>
          <w:lang w:eastAsia="zh-CN"/>
        </w:rPr>
      </w:pPr>
      <w:r>
        <w:rPr>
          <w:rFonts w:ascii="宋体" w:eastAsia="宋体" w:cs="宋体"/>
          <w:sz w:val="24"/>
          <w:szCs w:val="24"/>
        </w:rPr>
        <w:t>针对</w:t>
      </w:r>
      <w:r>
        <w:rPr>
          <w:rFonts w:hint="default" w:ascii="Times New Roman" w:hAnsi="Times New Roman" w:eastAsia="宋体" w:cs="Times New Roman"/>
          <w:sz w:val="24"/>
          <w:szCs w:val="24"/>
        </w:rPr>
        <w:t>Non-IID</w:t>
      </w:r>
      <w:r>
        <w:rPr>
          <w:rFonts w:ascii="宋体" w:eastAsia="宋体" w:cs="宋体"/>
          <w:sz w:val="24"/>
          <w:szCs w:val="24"/>
        </w:rPr>
        <w:t>数据引发的模型漂移现象，学术界主要通过强化聚合约束来抑制梯度畸变。</w:t>
      </w:r>
      <w:r>
        <w:rPr>
          <w:rFonts w:hint="default" w:ascii="Times New Roman" w:hAnsi="Times New Roman" w:eastAsia="宋体" w:cs="Times New Roman"/>
          <w:sz w:val="24"/>
          <w:szCs w:val="24"/>
        </w:rPr>
        <w:t>FedProx</w:t>
      </w:r>
      <w:r>
        <w:rPr>
          <w:rFonts w:ascii="宋体" w:eastAsia="宋体" w:cs="宋体"/>
          <w:sz w:val="24"/>
          <w:szCs w:val="24"/>
        </w:rPr>
        <w:t>算法被提出用于处理非凸优化环境下的异构网络，通过在局部损失函数中引入近端约束项，有效限制了本地更新与全局模型之间的偏差</w:t>
      </w:r>
      <w:r>
        <w:rPr>
          <w:rFonts w:hint="eastAsia" w:ascii="宋体" w:cs="宋体"/>
          <w:sz w:val="24"/>
          <w:szCs w:val="24"/>
          <w:lang w:eastAsia="zh-CN"/>
        </w:rPr>
        <w:t>（</w:t>
      </w:r>
      <w:r>
        <w:rPr>
          <w:rFonts w:hint="default" w:ascii="Times New Roman" w:hAnsi="Times New Roman" w:eastAsia="宋体" w:cs="Times New Roman"/>
          <w:sz w:val="24"/>
          <w:szCs w:val="24"/>
        </w:rPr>
        <w:t>Li et al., 2020; Kairouz et al., 2021</w:t>
      </w:r>
      <w:r>
        <w:rPr>
          <w:rFonts w:hint="eastAsia" w:cs="Times New Roman"/>
          <w:sz w:val="24"/>
          <w:szCs w:val="24"/>
          <w:lang w:eastAsia="zh-CN"/>
        </w:rPr>
        <w:t>）</w:t>
      </w:r>
      <w:r>
        <w:rPr>
          <w:rFonts w:ascii="宋体" w:eastAsia="宋体" w:cs="宋体"/>
          <w:sz w:val="24"/>
          <w:szCs w:val="24"/>
        </w:rPr>
        <w:t>。该策略在工业视觉分类等领域展现了较强的鲁棒性</w:t>
      </w:r>
      <w:r>
        <w:rPr>
          <w:rFonts w:hint="eastAsia" w:ascii="宋体" w:cs="宋体"/>
          <w:sz w:val="24"/>
          <w:szCs w:val="24"/>
          <w:lang w:eastAsia="zh-CN"/>
        </w:rPr>
        <w:t>，</w:t>
      </w:r>
      <w:r>
        <w:rPr>
          <w:rFonts w:ascii="宋体" w:eastAsia="宋体" w:cs="宋体"/>
          <w:sz w:val="24"/>
          <w:szCs w:val="24"/>
        </w:rPr>
        <w:t>但在复杂的农业图像识别中，单纯依靠参数空间的数值约束，仍难以在轻量化模型框架下实现对关键作物纹理特征的深度提取与自适应感知。</w:t>
      </w:r>
    </w:p>
    <w:p w14:paraId="474BBF53">
      <w:pPr>
        <w:pStyle w:val="4"/>
        <w:spacing w:before="120" w:beforeLines="50"/>
        <w:ind w:firstLine="0"/>
        <w:rPr>
          <w:rFonts w:hint="eastAsia" w:ascii="Times New Roman" w:hAnsi="Times New Roman" w:eastAsia="黑体" w:cs="Times New Roman"/>
          <w:kern w:val="2"/>
          <w:sz w:val="28"/>
          <w:szCs w:val="20"/>
          <w:lang w:val="zh-CN" w:eastAsia="zh-CN" w:bidi="ar-SA"/>
        </w:rPr>
      </w:pPr>
      <w:bookmarkStart w:id="35" w:name="_Toc18200"/>
      <w:r>
        <w:rPr>
          <w:rFonts w:hint="eastAsia" w:ascii="Times New Roman" w:hAnsi="Times New Roman" w:eastAsia="黑体" w:cs="Times New Roman"/>
          <w:kern w:val="2"/>
          <w:sz w:val="28"/>
          <w:szCs w:val="20"/>
          <w:lang w:val="zh-CN" w:eastAsia="zh-CN" w:bidi="ar-SA"/>
        </w:rPr>
        <w:t xml:space="preserve">1.2.3 </w:t>
      </w:r>
      <w:bookmarkEnd w:id="34"/>
      <w:r>
        <w:rPr>
          <w:rFonts w:hint="eastAsia" w:ascii="Times New Roman" w:hAnsi="Times New Roman" w:eastAsia="黑体" w:cs="Times New Roman"/>
          <w:kern w:val="2"/>
          <w:sz w:val="28"/>
          <w:szCs w:val="20"/>
          <w:lang w:val="zh-CN" w:eastAsia="zh-CN" w:bidi="ar-SA"/>
        </w:rPr>
        <w:t>预训练与迁移学习</w:t>
      </w:r>
      <w:bookmarkEnd w:id="35"/>
    </w:p>
    <w:p w14:paraId="04658FDB">
      <w:pPr>
        <w:rPr>
          <w:rFonts w:hint="eastAsia"/>
          <w:lang w:eastAsia="zh-CN"/>
        </w:rPr>
      </w:pPr>
      <w:r>
        <w:rPr>
          <w:rFonts w:hint="eastAsia"/>
          <w:lang w:eastAsia="zh-CN"/>
        </w:rPr>
        <w:t>在图像识别任务中，大规模预训练已成为提升模型性能和加速收敛的通用范式。ImageNet数据集作为目前应用最广泛的大规模图像基准数据集，涵盖了超过100类的自然图像样本。在其上训练得到的预训练权重蕴含了丰富的通用视觉特征表示，从低层的边缘与纹理检测到高层的语义概念抽象均已充分习得。</w:t>
      </w:r>
    </w:p>
    <w:p w14:paraId="4EAE79E0">
      <w:pPr>
        <w:rPr>
          <w:rFonts w:hint="eastAsia"/>
          <w:lang w:eastAsia="zh-CN"/>
        </w:rPr>
      </w:pPr>
      <w:r>
        <w:rPr>
          <w:rFonts w:hint="eastAsia"/>
          <w:lang w:eastAsia="zh-CN"/>
        </w:rPr>
        <w:t>迁移学习技术将这些预训练的通用特征表示迁移至目标域任务，使得模型无需从头学习基础视觉模式，仅需少量目标域样本即可完成参数微调（</w:t>
      </w:r>
      <w:r>
        <w:t>李响 等, 2023</w:t>
      </w:r>
      <w:r>
        <w:rPr>
          <w:rFonts w:hint="eastAsia"/>
          <w:lang w:eastAsia="zh-CN"/>
        </w:rPr>
        <w:t>）。从头训练的随机初始化策略难以在有限的通信轮次内收敛到有意义的特征空间。通过加载ImageNet预训练权重，模型的初始参数已处于一个良好的特征提取状态，联邦训练过程仅需专注于对农作物图像特有分布的高层语义适配，从而大幅降低了收敛所需的通信开销与样本数量需求。</w:t>
      </w:r>
    </w:p>
    <w:p w14:paraId="3F9D4CA7">
      <w:pPr>
        <w:pStyle w:val="3"/>
        <w:spacing w:before="240" w:beforeLines="100" w:after="120" w:afterLines="50"/>
        <w:ind w:firstLine="0"/>
      </w:pPr>
      <w:bookmarkStart w:id="36" w:name="_Toc223595389_ai_ai"/>
      <w:bookmarkStart w:id="37" w:name="_Toc24165_ai_ai"/>
      <w:bookmarkStart w:id="38" w:name="_Toc22987"/>
      <w:r>
        <w:rPr>
          <w:rFonts w:hint="eastAsia" w:ascii="Times New Roman" w:hAnsi="Times New Roman" w:eastAsia="黑体" w:cs="Times New Roman"/>
          <w:bCs/>
          <w:kern w:val="2"/>
          <w:sz w:val="30"/>
          <w:szCs w:val="32"/>
          <w:lang w:val="zh-CN" w:eastAsia="zh-CN" w:bidi="ar-SA"/>
        </w:rPr>
        <w:t>1.3</w:t>
      </w:r>
      <w:bookmarkEnd w:id="36"/>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研究内容</w:t>
      </w:r>
      <w:bookmarkEnd w:id="37"/>
      <w:bookmarkEnd w:id="38"/>
    </w:p>
    <w:p w14:paraId="767110B1">
      <w:pPr>
        <w:rPr>
          <w:rFonts w:ascii="Times New Roman" w:hAnsi="Times New Roman" w:eastAsia="宋体" w:cs="Times New Roman"/>
          <w:lang w:eastAsia="zh-CN"/>
        </w:rPr>
      </w:pPr>
      <w:r>
        <w:rPr>
          <w:rFonts w:ascii="Times New Roman" w:hAnsi="Times New Roman" w:eastAsia="宋体" w:cs="Times New Roman"/>
          <w:lang w:eastAsia="zh-CN"/>
        </w:rPr>
        <w:t>本文针对农业边缘场景下数据异构与小样本稀疏的核心</w:t>
      </w:r>
      <w:r>
        <w:rPr>
          <w:rFonts w:hint="eastAsia" w:cs="Times New Roman"/>
          <w:lang w:val="en-US" w:eastAsia="zh-CN"/>
        </w:rPr>
        <w:t>问题</w:t>
      </w:r>
      <w:r>
        <w:rPr>
          <w:rFonts w:ascii="Times New Roman" w:hAnsi="Times New Roman" w:eastAsia="宋体" w:cs="Times New Roman"/>
          <w:lang w:eastAsia="zh-CN"/>
        </w:rPr>
        <w:t>，研究并构建一种基于联邦学习的农作物图像协同训练系统。研究聚焦于以下五个方面：通过算法优化缓解Non-IID数据引发的</w:t>
      </w:r>
      <w:r>
        <w:rPr>
          <w:rFonts w:hint="eastAsia" w:cs="Times New Roman"/>
          <w:lang w:val="en-US" w:eastAsia="zh-CN"/>
        </w:rPr>
        <w:t>客户端</w:t>
      </w:r>
      <w:r>
        <w:rPr>
          <w:rFonts w:ascii="Times New Roman" w:hAnsi="Times New Roman" w:eastAsia="宋体" w:cs="Times New Roman"/>
          <w:lang w:eastAsia="zh-CN"/>
        </w:rPr>
        <w:t>漂移问题；选取适合边缘部署的轻量化主干网络；引入预训练迁移与数据增强策略改善小样本收敛困难；构建完整的联邦训练实验流程；开发可视化交互平台验证系统工程可行性。各研究内容通过消融实验进行定量验证，以系统性地评估各组件对最终识别性能的贡献。</w:t>
      </w:r>
    </w:p>
    <w:p w14:paraId="797A4089">
      <w:pPr>
        <w:pStyle w:val="4"/>
        <w:spacing w:before="120" w:beforeLines="50"/>
        <w:ind w:firstLine="0"/>
        <w:rPr>
          <w:lang w:val="en-US"/>
        </w:rPr>
      </w:pPr>
      <w:bookmarkStart w:id="39" w:name="_Toc22200_ai"/>
      <w:bookmarkStart w:id="40" w:name="_Toc11483"/>
      <w:r>
        <w:rPr>
          <w:rFonts w:hint="eastAsia" w:ascii="Times New Roman" w:hAnsi="Times New Roman" w:eastAsia="黑体" w:cs="Times New Roman"/>
          <w:kern w:val="2"/>
          <w:sz w:val="28"/>
          <w:szCs w:val="20"/>
          <w:lang w:val="zh-CN" w:eastAsia="zh-CN" w:bidi="ar-SA"/>
        </w:rPr>
        <w:t>1.3.</w:t>
      </w:r>
      <w:r>
        <w:rPr>
          <w:rFonts w:hint="eastAsia" w:cs="Times New Roman"/>
          <w:kern w:val="2"/>
          <w:sz w:val="28"/>
          <w:szCs w:val="20"/>
          <w:lang w:val="en-US" w:eastAsia="zh-CN" w:bidi="ar-SA"/>
        </w:rPr>
        <w:t>1</w:t>
      </w:r>
      <w:r>
        <w:rPr>
          <w:rFonts w:hint="eastAsia" w:ascii="Times New Roman" w:hAnsi="Times New Roman" w:eastAsia="黑体" w:cs="Times New Roman"/>
          <w:kern w:val="2"/>
          <w:sz w:val="28"/>
          <w:szCs w:val="20"/>
          <w:lang w:val="zh-CN" w:eastAsia="zh-CN" w:bidi="ar-SA"/>
        </w:rPr>
        <w:t xml:space="preserve"> </w:t>
      </w:r>
      <w:bookmarkEnd w:id="39"/>
      <w:r>
        <w:rPr>
          <w:rFonts w:hint="eastAsia" w:cs="Times New Roman"/>
          <w:kern w:val="2"/>
          <w:sz w:val="28"/>
          <w:szCs w:val="20"/>
          <w:lang w:val="en-US" w:eastAsia="zh-CN" w:bidi="ar-SA"/>
        </w:rPr>
        <w:t>轻量化模型选取</w:t>
      </w:r>
      <w:bookmarkEnd w:id="40"/>
    </w:p>
    <w:p w14:paraId="190FB0A4">
      <w:pPr>
        <w:rPr>
          <w:rFonts w:hint="eastAsia" w:ascii="Times New Roman" w:hAnsi="Times New Roman" w:eastAsia="宋体" w:cs="Times New Roman"/>
          <w:lang w:eastAsia="zh-CN"/>
        </w:rPr>
      </w:pPr>
      <w:r>
        <w:rPr>
          <w:rFonts w:ascii="Times New Roman" w:hAnsi="Times New Roman" w:eastAsia="宋体" w:cs="Times New Roman"/>
          <w:sz w:val="24"/>
          <w:szCs w:val="24"/>
        </w:rPr>
        <w:t>在模型结构层面，选用轻量化的MobileNetV2与残差网络ResNet18作为特征提取主干。</w:t>
      </w:r>
    </w:p>
    <w:p w14:paraId="5FA40EB6">
      <w:pPr>
        <w:rPr>
          <w:rFonts w:hint="eastAsia" w:ascii="Times New Roman" w:hAnsi="Times New Roman" w:eastAsia="宋体" w:cs="Times New Roman"/>
          <w:lang w:eastAsia="zh-CN"/>
        </w:rPr>
      </w:pPr>
      <w:r>
        <w:rPr>
          <w:rFonts w:ascii="Times New Roman" w:hAnsi="Times New Roman" w:eastAsia="宋体" w:cs="Times New Roman"/>
          <w:sz w:val="24"/>
          <w:szCs w:val="24"/>
        </w:rPr>
        <w:t>MobileNetV2</w:t>
      </w:r>
      <w:r>
        <w:rPr>
          <w:rFonts w:hint="eastAsia" w:cs="Times New Roman"/>
          <w:sz w:val="24"/>
          <w:szCs w:val="24"/>
          <w:lang w:eastAsia="zh-CN"/>
        </w:rPr>
        <w:t>（</w:t>
      </w:r>
      <w:r>
        <w:rPr>
          <w:rFonts w:ascii="Times New Roman" w:hAnsi="Times New Roman" w:eastAsia="宋体" w:cs="Times New Roman"/>
          <w:sz w:val="24"/>
          <w:szCs w:val="24"/>
        </w:rPr>
        <w:t>Sandler et al., 2018</w:t>
      </w:r>
      <w:r>
        <w:rPr>
          <w:rFonts w:hint="eastAsia" w:cs="Times New Roman"/>
          <w:sz w:val="24"/>
          <w:szCs w:val="24"/>
          <w:lang w:eastAsia="zh-CN"/>
        </w:rPr>
        <w:t>）</w:t>
      </w:r>
      <w:r>
        <w:rPr>
          <w:rFonts w:ascii="Times New Roman" w:hAnsi="Times New Roman" w:eastAsia="宋体" w:cs="Times New Roman"/>
          <w:sz w:val="24"/>
          <w:szCs w:val="24"/>
        </w:rPr>
        <w:t>采用倒残差结构与深度可分离卷积，参数量仅约3.4M，推理速度快，适合边缘设备部署；ResNet18则以残差连接有效缓解梯度消失问题，参数量约11M，在农业图像分类任务中具有良好的特征提取能力</w:t>
      </w:r>
      <w:r>
        <w:rPr>
          <w:rFonts w:hint="eastAsia" w:cs="Times New Roman"/>
          <w:sz w:val="24"/>
          <w:szCs w:val="24"/>
          <w:lang w:eastAsia="zh-CN"/>
        </w:rPr>
        <w:t>（</w:t>
      </w:r>
      <w:r>
        <w:rPr>
          <w:rFonts w:ascii="宋体" w:eastAsia="宋体" w:cs="宋体"/>
          <w:sz w:val="24"/>
          <w:szCs w:val="24"/>
        </w:rPr>
        <w:t xml:space="preserve">姜红花, </w:t>
      </w:r>
      <w:r>
        <w:rPr>
          <w:rFonts w:hint="default" w:ascii="Times New Roman" w:hAnsi="Times New Roman" w:eastAsia="宋体" w:cs="Times New Roman"/>
          <w:sz w:val="24"/>
          <w:szCs w:val="24"/>
        </w:rPr>
        <w:t>2023</w:t>
      </w:r>
      <w:r>
        <w:rPr>
          <w:rFonts w:hint="eastAsia" w:cs="Times New Roman"/>
          <w:sz w:val="24"/>
          <w:szCs w:val="24"/>
          <w:lang w:eastAsia="zh-CN"/>
        </w:rPr>
        <w:t>）</w:t>
      </w:r>
      <w:r>
        <w:rPr>
          <w:rFonts w:ascii="Times New Roman" w:hAnsi="Times New Roman" w:eastAsia="宋体" w:cs="Times New Roman"/>
          <w:sz w:val="24"/>
          <w:szCs w:val="24"/>
        </w:rPr>
        <w:t>。两者均可在资源受限的农业边缘终端上实现高效推理，满足联邦学习本地训练的轻量化需求。</w:t>
      </w:r>
    </w:p>
    <w:p w14:paraId="6ED97C7D">
      <w:pPr>
        <w:pStyle w:val="4"/>
        <w:spacing w:before="120" w:beforeLines="50"/>
        <w:ind w:firstLine="0"/>
      </w:pPr>
      <w:bookmarkStart w:id="41" w:name="_Toc10425_ai"/>
      <w:bookmarkStart w:id="42" w:name="_Toc6821"/>
      <w:r>
        <w:rPr>
          <w:rFonts w:hint="eastAsia" w:ascii="Times New Roman" w:hAnsi="Times New Roman" w:eastAsia="黑体" w:cs="Times New Roman"/>
          <w:kern w:val="2"/>
          <w:sz w:val="28"/>
          <w:szCs w:val="20"/>
          <w:lang w:val="zh-CN" w:eastAsia="zh-CN" w:bidi="ar-SA"/>
        </w:rPr>
        <w:t>1.3.</w:t>
      </w:r>
      <w:r>
        <w:rPr>
          <w:rFonts w:hint="eastAsia" w:cs="Times New Roman"/>
          <w:kern w:val="2"/>
          <w:sz w:val="28"/>
          <w:szCs w:val="20"/>
          <w:lang w:val="en-US" w:eastAsia="zh-CN" w:bidi="ar-SA"/>
        </w:rPr>
        <w:t>2</w:t>
      </w:r>
      <w:r>
        <w:rPr>
          <w:rFonts w:hint="eastAsia" w:ascii="Times New Roman" w:hAnsi="Times New Roman" w:eastAsia="黑体" w:cs="Times New Roman"/>
          <w:kern w:val="2"/>
          <w:sz w:val="28"/>
          <w:szCs w:val="20"/>
          <w:lang w:val="zh-CN" w:eastAsia="zh-CN" w:bidi="ar-SA"/>
        </w:rPr>
        <w:t xml:space="preserve"> </w:t>
      </w:r>
      <w:bookmarkEnd w:id="41"/>
      <w:r>
        <w:rPr>
          <w:rFonts w:hint="eastAsia" w:ascii="Times New Roman" w:hAnsi="Times New Roman" w:eastAsia="黑体" w:cs="Times New Roman"/>
          <w:kern w:val="2"/>
          <w:sz w:val="28"/>
          <w:szCs w:val="20"/>
          <w:lang w:val="zh-CN" w:eastAsia="zh-CN" w:bidi="ar-SA"/>
        </w:rPr>
        <w:t>联邦训练框架构建与初步验证</w:t>
      </w:r>
      <w:bookmarkEnd w:id="42"/>
    </w:p>
    <w:p w14:paraId="0DDC8B9F">
      <w:pPr>
        <w:rPr>
          <w:rFonts w:hint="eastAsia" w:ascii="宋体" w:eastAsia="宋体" w:cs="宋体"/>
          <w:sz w:val="24"/>
          <w:szCs w:val="24"/>
        </w:rPr>
      </w:pPr>
      <w:r>
        <w:rPr>
          <w:rFonts w:ascii="Times New Roman" w:hAnsi="Times New Roman" w:eastAsia="宋体" w:cs="Times New Roman"/>
          <w:sz w:val="24"/>
          <w:szCs w:val="24"/>
        </w:rPr>
        <w:t>以</w:t>
      </w:r>
      <w:r>
        <w:rPr>
          <w:rFonts w:hint="eastAsia" w:cs="Times New Roman"/>
          <w:sz w:val="24"/>
          <w:szCs w:val="24"/>
          <w:lang w:eastAsia="zh-CN"/>
        </w:rPr>
        <w:t>CIFAR-10</w:t>
      </w:r>
      <w:r>
        <w:rPr>
          <w:rFonts w:ascii="Times New Roman" w:hAnsi="Times New Roman" w:eastAsia="宋体" w:cs="Times New Roman"/>
          <w:sz w:val="24"/>
          <w:szCs w:val="24"/>
        </w:rPr>
        <w:t>通用数据集为实验平台，采用Dirichlet分布策略（</w:t>
      </w:r>
      <m:oMath>
        <m:r>
          <m:rPr/>
          <w:rPr>
            <w:rFonts w:hint="default" w:ascii="Cambria Math" w:hAnsi="Cambria Math" w:eastAsia="宋体"/>
            <w:sz w:val="24"/>
          </w:rPr>
          <m:t>α</m:t>
        </m:r>
      </m:oMath>
      <w:r>
        <w:rPr>
          <w:rFonts w:ascii="Times New Roman" w:hAnsi="Times New Roman" w:eastAsia="宋体" w:cs="Times New Roman"/>
          <w:sz w:val="24"/>
          <w:szCs w:val="24"/>
        </w:rPr>
        <w:t>=</w:t>
      </w:r>
      <w:r>
        <w:rPr>
          <w:rFonts w:ascii="Times New Roman" w:hAnsi="Times New Roman" w:eastAsia="宋体" w:cs="Times New Roman"/>
          <w:sz w:val="24"/>
          <w:szCs w:val="24"/>
          <w:lang w:val="en-US" w:eastAsia="zh-CN"/>
        </w:rPr>
        <w:t>1</w:t>
      </w:r>
      <w:r>
        <w:rPr>
          <w:rFonts w:ascii="Times New Roman" w:hAnsi="Times New Roman" w:eastAsia="宋体" w:cs="Times New Roman"/>
          <w:sz w:val="24"/>
          <w:szCs w:val="24"/>
        </w:rPr>
        <w:t>）对数据进行Non-IID划分，模拟真实联邦场景下各客户端数据分布不均衡的情形，搭建基础实验仿真平台。在统一的无预训练、无Mixup增强基线条件下，以ResNet18为主干网络，对比FedAvg、FedProx（固定</w:t>
      </w:r>
      <m:oMath>
        <m:r>
          <m:rPr/>
          <w:rPr>
            <w:rFonts w:hint="default" w:ascii="Cambria Math" w:hAnsi="Cambria Math" w:eastAsia="宋体"/>
            <w:sz w:val="24"/>
          </w:rPr>
          <m:t>μ</m:t>
        </m:r>
      </m:oMath>
      <w:r>
        <w:rPr>
          <w:rFonts w:ascii="Times New Roman" w:hAnsi="Times New Roman" w:eastAsia="宋体" w:cs="Times New Roman"/>
          <w:sz w:val="24"/>
          <w:szCs w:val="24"/>
        </w:rPr>
        <w:t>）与FedProx（动态</w:t>
      </w:r>
      <m:oMath>
        <m:r>
          <m:rPr/>
          <w:rPr>
            <w:rFonts w:hint="default" w:ascii="Cambria Math" w:hAnsi="Cambria Math" w:eastAsia="宋体"/>
            <w:sz w:val="24"/>
          </w:rPr>
          <m:t>μ</m:t>
        </m:r>
      </m:oMath>
      <w:r>
        <w:rPr>
          <w:rFonts w:ascii="Times New Roman" w:hAnsi="Times New Roman" w:eastAsia="宋体" w:cs="Times New Roman"/>
          <w:sz w:val="24"/>
          <w:szCs w:val="24"/>
        </w:rPr>
        <w:t>衰减）三种聚合策略的收敛性能与最终准确率，独立验证动态近端约束衰减机制的算法有效性，为后续复杂的农作物分类任务确立可靠的实验基准。</w:t>
      </w:r>
    </w:p>
    <w:p w14:paraId="622A1B9D">
      <w:pPr>
        <w:pStyle w:val="4"/>
        <w:spacing w:before="120" w:beforeLines="50"/>
        <w:ind w:firstLine="0"/>
      </w:pPr>
      <w:bookmarkStart w:id="43" w:name="_Toc22965_ai"/>
      <w:bookmarkStart w:id="44" w:name="_Toc17159"/>
      <w:r>
        <w:rPr>
          <w:rFonts w:hint="eastAsia" w:ascii="Times New Roman" w:hAnsi="Times New Roman" w:eastAsia="黑体" w:cs="Times New Roman"/>
          <w:kern w:val="2"/>
          <w:sz w:val="28"/>
          <w:szCs w:val="20"/>
          <w:lang w:val="zh-CN" w:eastAsia="zh-CN" w:bidi="ar-SA"/>
        </w:rPr>
        <w:t>1.3.3 联邦聚合策略与动态参数设计</w:t>
      </w:r>
      <w:bookmarkEnd w:id="43"/>
      <w:bookmarkEnd w:id="44"/>
    </w:p>
    <w:p w14:paraId="50ECCFCE">
      <w:pPr>
        <w:rPr>
          <w:rFonts w:hint="eastAsia" w:ascii="宋体" w:eastAsia="宋体" w:cs="宋体"/>
          <w:sz w:val="24"/>
          <w:szCs w:val="24"/>
        </w:rPr>
      </w:pPr>
      <w:r>
        <w:rPr>
          <w:rFonts w:ascii="Times New Roman" w:hAnsi="Times New Roman" w:eastAsia="宋体" w:cs="Times New Roman"/>
          <w:sz w:val="24"/>
          <w:szCs w:val="24"/>
        </w:rPr>
        <w:t>针对Non-IID数据引发的模型漂移现象，提出基于余弦衰减的动态近端约束机制。其核心思想是使近端约束系数随联邦训练轮次从预设初始值按余弦函数逐渐衰减至接近零的极小值：训练初期施加较强约束（较大）以保证全局聚合方向的稳定性，防止各客户端本地模型因Non-IID数据过度偏离全局最优；训练后期减弱约束以释放各客户端对本地数据分布的充分拟合空间，避免过强惩罚阻碍模型取得更高精度。与固定的FedProx相比，该动态衰减策略在</w:t>
      </w:r>
      <w:r>
        <w:rPr>
          <w:rFonts w:hint="eastAsia" w:cs="Times New Roman"/>
          <w:sz w:val="24"/>
          <w:szCs w:val="24"/>
          <w:lang w:eastAsia="zh-CN"/>
        </w:rPr>
        <w:t>CIFAR-10</w:t>
      </w:r>
      <w:r>
        <w:rPr>
          <w:rFonts w:ascii="Times New Roman" w:hAnsi="Times New Roman" w:eastAsia="宋体" w:cs="Times New Roman"/>
          <w:sz w:val="24"/>
          <w:szCs w:val="24"/>
        </w:rPr>
        <w:t>基准实验中取得了更高的准确率，验证了自适应约束调度的有效性。</w:t>
      </w:r>
    </w:p>
    <w:p w14:paraId="7115309F">
      <w:pPr>
        <w:pStyle w:val="4"/>
        <w:spacing w:before="120" w:beforeLines="50"/>
        <w:ind w:firstLine="0"/>
      </w:pPr>
      <w:bookmarkStart w:id="45" w:name="_Toc16522"/>
      <w:r>
        <w:rPr>
          <w:rFonts w:hint="eastAsia" w:ascii="Times New Roman" w:hAnsi="Times New Roman" w:eastAsia="黑体" w:cs="Times New Roman"/>
          <w:kern w:val="2"/>
          <w:sz w:val="28"/>
          <w:szCs w:val="20"/>
          <w:lang w:val="zh-CN" w:eastAsia="zh-CN" w:bidi="ar-SA"/>
        </w:rPr>
        <w:t xml:space="preserve">1.3.4 </w:t>
      </w:r>
      <w:r>
        <w:rPr>
          <w:rFonts w:hint="eastAsia" w:cs="Times New Roman"/>
          <w:kern w:val="2"/>
          <w:sz w:val="28"/>
          <w:szCs w:val="20"/>
          <w:lang w:val="en-US" w:eastAsia="zh-CN" w:bidi="ar-SA"/>
        </w:rPr>
        <w:t>预训练与</w:t>
      </w:r>
      <w:r>
        <w:rPr>
          <w:rFonts w:hint="eastAsia" w:ascii="Times New Roman" w:hAnsi="Times New Roman" w:eastAsia="黑体" w:cs="Times New Roman"/>
          <w:kern w:val="2"/>
          <w:sz w:val="28"/>
          <w:szCs w:val="20"/>
          <w:lang w:val="zh-CN" w:eastAsia="zh-CN" w:bidi="ar-SA"/>
        </w:rPr>
        <w:t>Mixup数据增强</w:t>
      </w:r>
      <w:bookmarkEnd w:id="45"/>
    </w:p>
    <w:p w14:paraId="223913FB">
      <w:pPr>
        <w:rPr>
          <w:rFonts w:hint="eastAsia" w:ascii="宋体" w:eastAsia="宋体" w:cs="宋体"/>
          <w:sz w:val="24"/>
          <w:szCs w:val="24"/>
        </w:rPr>
      </w:pPr>
      <w:r>
        <w:rPr>
          <w:rFonts w:ascii="Times New Roman" w:hAnsi="Times New Roman" w:eastAsia="宋体" w:cs="Times New Roman"/>
          <w:sz w:val="24"/>
          <w:szCs w:val="24"/>
        </w:rPr>
        <w:t>加载在ImageNet大规模图像数据集</w:t>
      </w:r>
      <w:r>
        <w:rPr>
          <w:rFonts w:hint="eastAsia" w:cs="Times New Roman"/>
          <w:sz w:val="24"/>
          <w:szCs w:val="24"/>
          <w:lang w:eastAsia="zh-CN"/>
        </w:rPr>
        <w:t>（</w:t>
      </w:r>
      <w:r>
        <w:rPr>
          <w:lang w:val="en-US" w:eastAsia="zh-CN"/>
        </w:rPr>
        <w:t>Deng et al., 2009</w:t>
      </w:r>
      <w:r>
        <w:rPr>
          <w:rFonts w:hint="eastAsia"/>
          <w:lang w:val="en-US" w:eastAsia="zh-CN"/>
        </w:rPr>
        <w:t>）</w:t>
      </w:r>
      <w:r>
        <w:rPr>
          <w:rFonts w:ascii="Times New Roman" w:hAnsi="Times New Roman" w:eastAsia="宋体" w:cs="Times New Roman"/>
          <w:sz w:val="24"/>
          <w:szCs w:val="24"/>
        </w:rPr>
        <w:t>上预训练得到的ResNet18与MobileNetV2权重作为联邦训练的初始化参数，使各客户端模型无需从随机权重重新学习底层视觉特征，仅需专注于农作物图像特有分布的高层语义适配。在联邦微调（Fine-tuning）阶段，冻结主干网络浅层参数以保留通用视觉特征，仅对高层特征提取层与分类头进行梯度更新。同时引入Mixup混合增强方法，在各客户端本地训练时对批次内图像随机配对并执行线性插值，扩充本地有效训练样本的分布范围，缓解小样本条件下的过拟合风险。消融实验结果表明，预训练迁移是性能提升的最关键组件。</w:t>
      </w:r>
    </w:p>
    <w:p w14:paraId="1CBE4D2B">
      <w:pPr>
        <w:pStyle w:val="4"/>
        <w:spacing w:before="120" w:beforeLines="50"/>
        <w:ind w:firstLine="0"/>
      </w:pPr>
      <w:bookmarkStart w:id="46" w:name="_Toc16438"/>
      <w:bookmarkStart w:id="47" w:name="_Toc19674_ai"/>
      <w:r>
        <w:rPr>
          <w:rFonts w:hint="eastAsia" w:ascii="Times New Roman" w:hAnsi="Times New Roman" w:eastAsia="黑体" w:cs="Times New Roman"/>
          <w:kern w:val="2"/>
          <w:sz w:val="28"/>
          <w:szCs w:val="20"/>
          <w:lang w:val="zh-CN" w:eastAsia="zh-CN" w:bidi="ar-SA"/>
        </w:rPr>
        <w:t>1.3.5 可视化交互系统设计与实现</w:t>
      </w:r>
      <w:bookmarkEnd w:id="46"/>
      <w:bookmarkEnd w:id="47"/>
    </w:p>
    <w:p w14:paraId="189F6745">
      <w:pPr>
        <w:rPr>
          <w:rFonts w:hint="eastAsia" w:ascii="宋体" w:eastAsia="宋体" w:cs="宋体"/>
          <w:sz w:val="24"/>
          <w:szCs w:val="24"/>
        </w:rPr>
      </w:pPr>
      <w:r>
        <w:rPr>
          <w:rFonts w:ascii="Times New Roman" w:hAnsi="Times New Roman" w:eastAsia="宋体" w:cs="Times New Roman"/>
          <w:sz w:val="24"/>
          <w:szCs w:val="24"/>
        </w:rPr>
        <w:t>基于PyQt5框架设计并实现桌面端可视化交互平台，集成联邦训练监控与农作物图像分类识别两大功能模块。训练监控模块提供算法（FedProx动态/FedProx/FedAvg）、主干网络（MobileNetV2/ResNet18）、数据集（Crop/</w:t>
      </w:r>
      <w:r>
        <w:rPr>
          <w:rFonts w:hint="eastAsia" w:cs="Times New Roman"/>
          <w:sz w:val="24"/>
          <w:szCs w:val="24"/>
          <w:lang w:eastAsia="zh-CN"/>
        </w:rPr>
        <w:t>CIFAR-10</w:t>
      </w:r>
      <w:r>
        <w:rPr>
          <w:rFonts w:ascii="Times New Roman" w:hAnsi="Times New Roman" w:eastAsia="宋体" w:cs="Times New Roman"/>
          <w:sz w:val="24"/>
          <w:szCs w:val="24"/>
        </w:rPr>
        <w:t>）等参数的图形化配置界面，支持训练启停控制，并通过进度条与日志终端实时展示通信轮次、当前准确率与训练损失等状态信息；训练完成后自动弹出结果分析窗口，展示准确率与损失曲线图及性能指标汇总表格，支持图表与数据导出。农作物分类识别模块支持用户手动加载本地模型文件或一键恢复</w:t>
      </w:r>
      <w:r>
        <w:rPr>
          <w:rFonts w:hint="eastAsia" w:cs="Times New Roman"/>
          <w:sz w:val="24"/>
          <w:szCs w:val="24"/>
          <w:lang w:val="en-US" w:eastAsia="zh-CN"/>
        </w:rPr>
        <w:t>内置</w:t>
      </w:r>
      <w:r>
        <w:rPr>
          <w:rFonts w:ascii="Times New Roman" w:hAnsi="Times New Roman" w:eastAsia="宋体" w:cs="Times New Roman"/>
          <w:sz w:val="24"/>
          <w:szCs w:val="24"/>
        </w:rPr>
        <w:t>最优全局模型，上传JPG/PNG格式农作物图像后执行前向推理，返回预测类别（水稻/小麦/玉米）、置信度及推理耗时，并支持Top-3结果展示与低置信度预警（阈值0.4）。</w:t>
      </w:r>
    </w:p>
    <w:p w14:paraId="3DC38152">
      <w:pPr>
        <w:pStyle w:val="3"/>
        <w:spacing w:before="240" w:beforeLines="100" w:after="120" w:afterLines="50"/>
        <w:ind w:firstLine="0"/>
      </w:pPr>
      <w:bookmarkStart w:id="48" w:name="_Toc1031"/>
      <w:bookmarkStart w:id="49" w:name="_Toc722_ai_ai"/>
      <w:bookmarkStart w:id="50" w:name="_Toc14381_ai"/>
      <w:r>
        <w:rPr>
          <w:rFonts w:hint="eastAsia" w:ascii="Times New Roman" w:hAnsi="Times New Roman" w:eastAsia="黑体" w:cs="Times New Roman"/>
          <w:bCs/>
          <w:kern w:val="2"/>
          <w:sz w:val="30"/>
          <w:szCs w:val="32"/>
          <w:lang w:val="zh-CN" w:eastAsia="zh-CN" w:bidi="ar-SA"/>
        </w:rPr>
        <w:t>1.4 研究方法和技术路线</w:t>
      </w:r>
      <w:bookmarkEnd w:id="48"/>
      <w:bookmarkEnd w:id="49"/>
      <w:bookmarkEnd w:id="50"/>
    </w:p>
    <w:p w14:paraId="4D0FBE3A">
      <w:pPr>
        <w:pStyle w:val="4"/>
        <w:spacing w:before="120" w:beforeLines="50"/>
        <w:ind w:firstLine="0"/>
      </w:pPr>
      <w:bookmarkStart w:id="51" w:name="_Toc11720"/>
      <w:r>
        <w:rPr>
          <w:rFonts w:hint="eastAsia" w:ascii="Times New Roman" w:hAnsi="Times New Roman" w:eastAsia="黑体" w:cs="Times New Roman"/>
          <w:kern w:val="2"/>
          <w:sz w:val="28"/>
          <w:szCs w:val="20"/>
          <w:lang w:val="zh-CN" w:eastAsia="zh-CN" w:bidi="ar-SA"/>
        </w:rPr>
        <w:t>1.4.1 研究方法</w:t>
      </w:r>
      <w:bookmarkEnd w:id="51"/>
    </w:p>
    <w:p w14:paraId="7FEBFB1E">
      <w:pPr>
        <w:rPr>
          <w:rFonts w:hint="eastAsia" w:ascii="宋体" w:eastAsia="宋体" w:cs="宋体"/>
          <w:sz w:val="24"/>
          <w:szCs w:val="24"/>
        </w:rPr>
      </w:pPr>
      <w:r>
        <w:rPr>
          <w:rFonts w:ascii="Times New Roman" w:hAnsi="Times New Roman" w:eastAsia="宋体" w:cs="Times New Roman"/>
          <w:sz w:val="24"/>
          <w:szCs w:val="24"/>
        </w:rPr>
        <w:t>本文采用理论研究与实验验证相结合的研究方法。首先系统梳理联邦学习、农业图像识别、异构数据优化及轻量化视觉模型等领域的国内外研究成果，明确农作物图像分布式建模的关键科学问题与技术挑战，重点分析FedAvg、FedProx等经典联邦聚合算法的适用场景与局限性，为后续算法改进提供理论依据。</w:t>
      </w:r>
      <w:r>
        <w:rPr>
          <w:rFonts w:hint="eastAsia" w:cs="Times New Roman"/>
          <w:sz w:val="24"/>
          <w:szCs w:val="24"/>
          <w:lang w:val="en-US" w:eastAsia="zh-CN"/>
        </w:rPr>
        <w:t>然后</w:t>
      </w:r>
      <w:r>
        <w:rPr>
          <w:rFonts w:ascii="Times New Roman" w:hAnsi="Times New Roman" w:eastAsia="宋体" w:cs="Times New Roman"/>
          <w:sz w:val="24"/>
          <w:szCs w:val="24"/>
        </w:rPr>
        <w:t>设计控制变量实验，在</w:t>
      </w:r>
      <w:r>
        <w:rPr>
          <w:rFonts w:hint="eastAsia" w:cs="Times New Roman"/>
          <w:sz w:val="24"/>
          <w:szCs w:val="24"/>
          <w:lang w:eastAsia="zh-CN"/>
        </w:rPr>
        <w:t>CIFAR-10</w:t>
      </w:r>
      <w:r>
        <w:rPr>
          <w:rFonts w:ascii="Times New Roman" w:hAnsi="Times New Roman" w:eastAsia="宋体" w:cs="Times New Roman"/>
          <w:sz w:val="24"/>
          <w:szCs w:val="24"/>
        </w:rPr>
        <w:t>标准数据集上对比FedAvg与FedProx（固定</w:t>
      </w:r>
      <m:oMath>
        <m:r>
          <m:rPr/>
          <w:rPr>
            <w:rFonts w:hint="default" w:ascii="Cambria Math" w:hAnsi="Cambria Math" w:eastAsia="宋体"/>
            <w:sz w:val="24"/>
          </w:rPr>
          <m:t>μ</m:t>
        </m:r>
      </m:oMath>
      <w:r>
        <w:rPr>
          <w:rFonts w:ascii="Times New Roman" w:hAnsi="Times New Roman" w:eastAsia="宋体" w:cs="Times New Roman"/>
          <w:sz w:val="24"/>
          <w:szCs w:val="24"/>
        </w:rPr>
        <w:t>/动态</w:t>
      </w:r>
      <m:oMath>
        <m:r>
          <m:rPr/>
          <w:rPr>
            <w:rFonts w:hint="default" w:ascii="Cambria Math" w:hAnsi="Cambria Math" w:eastAsia="宋体"/>
            <w:sz w:val="24"/>
          </w:rPr>
          <m:t>μ</m:t>
        </m:r>
      </m:oMath>
      <w:r>
        <w:rPr>
          <w:rFonts w:ascii="Times New Roman" w:hAnsi="Times New Roman" w:eastAsia="宋体" w:cs="Times New Roman"/>
          <w:sz w:val="24"/>
          <w:szCs w:val="24"/>
        </w:rPr>
        <w:t>衰减）的算法性能，独立验证动态近端约束衰减机制的有效性，实验控制条件包括统一的无预训练、无Mixup增强基线，相同的网络结构（ResNet18）与超参数配置。在Crop农作物数据集上采用逐步叠加组件的消融策略，系统量化预训练迁移、动态衰减与Mixup混合增强三个核心组件对识别性能的贡献，通过控制变量法分别验证各组件的独立作用与协同效应，并对ResNet18与MobileNetV2两种主干网络进行横向对比，评估联邦优化策略的跨架构普适性。最后基于PyQt5框架构建桌面端可视化交互平台，集成模型训练监控、参数配置与农作物图像分类识别功能，通过系统演示验证所提策略在农业边缘场景中的工程可行性。</w:t>
      </w:r>
    </w:p>
    <w:p w14:paraId="67070788">
      <w:pPr>
        <w:pStyle w:val="4"/>
        <w:spacing w:before="120" w:beforeLines="50"/>
        <w:ind w:firstLine="0"/>
      </w:pPr>
      <w:bookmarkStart w:id="52" w:name="_Toc22487"/>
      <w:bookmarkStart w:id="53" w:name="_Toc1411_ai"/>
      <w:r>
        <w:rPr>
          <w:rFonts w:hint="eastAsia" w:ascii="Times New Roman" w:hAnsi="Times New Roman" w:eastAsia="黑体" w:cs="Times New Roman"/>
          <w:kern w:val="2"/>
          <w:sz w:val="28"/>
          <w:szCs w:val="20"/>
          <w:lang w:val="zh-CN" w:eastAsia="zh-CN" w:bidi="ar-SA"/>
        </w:rPr>
        <w:t>1.4.2 技术路线</w:t>
      </w:r>
      <w:bookmarkEnd w:id="52"/>
      <w:bookmarkEnd w:id="53"/>
    </w:p>
    <w:p w14:paraId="762C7B45">
      <w:pPr>
        <w:rPr>
          <w:rFonts w:hint="eastAsia" w:ascii="宋体" w:eastAsia="宋体" w:cs="宋体"/>
          <w:sz w:val="24"/>
          <w:szCs w:val="24"/>
        </w:rPr>
      </w:pPr>
      <w:r>
        <w:rPr>
          <w:rFonts w:ascii="Times New Roman" w:hAnsi="Times New Roman" w:eastAsia="宋体" w:cs="Times New Roman"/>
          <w:sz w:val="24"/>
          <w:szCs w:val="24"/>
        </w:rPr>
        <w:t>本文的总体技术路线如图1-</w:t>
      </w:r>
      <w:r>
        <w:rPr>
          <w:rFonts w:hint="eastAsia" w:cs="Times New Roman"/>
          <w:sz w:val="24"/>
          <w:szCs w:val="24"/>
          <w:lang w:val="en-US" w:eastAsia="zh-CN"/>
        </w:rPr>
        <w:t>1</w:t>
      </w:r>
      <w:r>
        <w:rPr>
          <w:rFonts w:ascii="Times New Roman" w:hAnsi="Times New Roman" w:eastAsia="宋体" w:cs="Times New Roman"/>
          <w:sz w:val="24"/>
          <w:szCs w:val="24"/>
        </w:rPr>
        <w:t>所示，涵盖数据准备、模型构建、算法优化</w:t>
      </w:r>
      <w:r>
        <w:rPr>
          <w:rFonts w:hint="eastAsia" w:cs="Times New Roman"/>
          <w:sz w:val="24"/>
          <w:szCs w:val="24"/>
          <w:lang w:eastAsia="zh-CN"/>
        </w:rPr>
        <w:t>、</w:t>
      </w:r>
      <w:r>
        <w:rPr>
          <w:rFonts w:hint="eastAsia" w:cs="Times New Roman"/>
          <w:sz w:val="24"/>
          <w:szCs w:val="24"/>
          <w:lang w:val="en-US" w:eastAsia="zh-CN"/>
        </w:rPr>
        <w:t>实验验证和</w:t>
      </w:r>
      <w:r>
        <w:rPr>
          <w:rFonts w:ascii="Times New Roman" w:hAnsi="Times New Roman" w:eastAsia="宋体" w:cs="Times New Roman"/>
          <w:sz w:val="24"/>
          <w:szCs w:val="24"/>
        </w:rPr>
        <w:t>系统实现</w:t>
      </w:r>
      <w:r>
        <w:rPr>
          <w:rFonts w:hint="eastAsia" w:cs="Times New Roman"/>
          <w:sz w:val="24"/>
          <w:szCs w:val="24"/>
          <w:lang w:val="en-US" w:eastAsia="zh-CN"/>
        </w:rPr>
        <w:t>五</w:t>
      </w:r>
      <w:r>
        <w:rPr>
          <w:rFonts w:ascii="Times New Roman" w:hAnsi="Times New Roman" w:eastAsia="宋体" w:cs="Times New Roman"/>
          <w:sz w:val="24"/>
          <w:szCs w:val="24"/>
        </w:rPr>
        <w:t>个主要阶段，各阶段相互衔接</w:t>
      </w:r>
      <w:r>
        <w:rPr>
          <w:rFonts w:hint="eastAsia" w:cs="Times New Roman"/>
          <w:sz w:val="24"/>
          <w:szCs w:val="24"/>
          <w:lang w:eastAsia="zh-CN"/>
        </w:rPr>
        <w:t>，</w:t>
      </w:r>
      <w:r>
        <w:rPr>
          <w:rFonts w:hint="eastAsia" w:cs="Times New Roman"/>
          <w:sz w:val="24"/>
          <w:szCs w:val="24"/>
          <w:lang w:val="en-US" w:eastAsia="zh-CN"/>
        </w:rPr>
        <w:t>构建</w:t>
      </w:r>
      <w:r>
        <w:rPr>
          <w:rFonts w:ascii="Times New Roman" w:hAnsi="Times New Roman" w:eastAsia="宋体" w:cs="Times New Roman"/>
          <w:sz w:val="24"/>
          <w:szCs w:val="24"/>
        </w:rPr>
        <w:t>联邦农作物图像识别协同训练系统的完整研究流程。</w:t>
      </w:r>
    </w:p>
    <w:p w14:paraId="58A3451D">
      <w:pPr>
        <w:rPr>
          <w:rFonts w:hint="eastAsia" w:ascii="Times New Roman" w:hAnsi="Times New Roman" w:eastAsia="宋体" w:cs="Times New Roman"/>
          <w:sz w:val="24"/>
          <w:szCs w:val="24"/>
        </w:rPr>
      </w:pPr>
      <w:r>
        <w:rPr>
          <w:rFonts w:hint="eastAsia" w:cs="Times New Roman"/>
          <w:sz w:val="24"/>
          <w:szCs w:val="24"/>
          <w:lang w:val="en-US" w:eastAsia="zh-CN"/>
        </w:rPr>
        <w:t>一、</w:t>
      </w:r>
      <w:r>
        <w:rPr>
          <w:rFonts w:hint="eastAsia" w:ascii="Times New Roman" w:hAnsi="Times New Roman" w:eastAsia="宋体" w:cs="Times New Roman"/>
          <w:sz w:val="24"/>
          <w:szCs w:val="24"/>
        </w:rPr>
        <w:t>数据准备阶段</w:t>
      </w:r>
    </w:p>
    <w:p w14:paraId="32B79F66">
      <w:pPr>
        <w:rPr>
          <w:rFonts w:hint="eastAsia" w:ascii="Times New Roman" w:hAnsi="Times New Roman" w:eastAsia="宋体" w:cs="Times New Roman"/>
          <w:sz w:val="24"/>
          <w:szCs w:val="24"/>
          <w:lang w:eastAsia="zh-CN"/>
        </w:rPr>
        <w:sectPr>
          <w:headerReference r:id="rId25" w:type="default"/>
          <w:footerReference r:id="rId27" w:type="default"/>
          <w:headerReference r:id="rId26" w:type="even"/>
          <w:footerReference r:id="rId28" w:type="even"/>
          <w:pgSz w:w="11906" w:h="16838"/>
          <w:pgMar w:top="1701" w:right="1474" w:bottom="1418" w:left="1474" w:header="1134" w:footer="992" w:gutter="0"/>
          <w:pgBorders>
            <w:top w:val="none" w:sz="0" w:space="0"/>
            <w:left w:val="none" w:sz="0" w:space="0"/>
            <w:bottom w:val="none" w:sz="0" w:space="0"/>
            <w:right w:val="none" w:sz="0" w:space="0"/>
          </w:pgBorders>
          <w:pgNumType w:start="1"/>
          <w:cols w:space="720" w:num="1"/>
          <w:docGrid w:linePitch="326" w:charSpace="0"/>
        </w:sectPr>
      </w:pPr>
      <w:r>
        <w:rPr>
          <w:rFonts w:hint="eastAsia" w:ascii="Times New Roman" w:hAnsi="Times New Roman" w:eastAsia="宋体" w:cs="Times New Roman"/>
          <w:sz w:val="24"/>
          <w:szCs w:val="24"/>
        </w:rPr>
        <w:t>本研究使用两类数据集开展实验。标准数据集方面，采用CIFAR-10作为算法验证基准，共包含60000张32×32像素的十类图像，按Dirichlet分布策略进行Non-IID异构划分，分配至20个联邦客户端。自建数据集方面，收集小麦、玉米、水稻三类农作物图像各1000张共3000张，构成Crop数据集，图像统一缩放至224×224像素，按约3:1比例划分为训练集与测试集，转换为NPZ格式后以相同的Non-IID策略分配至10个联邦客户端，模拟不同农业生产主体持有不同类别作物数据的实际场景。此外，通过网络爬取额外收集三类农作物图像各100张，构成共300张的扩展泛化集（JPG格式），不参与任何训练过程，专用于评估模型的跨域泛化能力</w:t>
      </w:r>
      <w:r>
        <w:rPr>
          <w:rFonts w:hint="eastAsia" w:cs="Times New Roman"/>
          <w:sz w:val="24"/>
          <w:szCs w:val="24"/>
          <w:lang w:eastAsia="zh-CN"/>
        </w:rPr>
        <w:t>。</w:t>
      </w:r>
    </w:p>
    <w:p w14:paraId="3F61EDAD">
      <w:pPr>
        <w:pStyle w:val="56"/>
        <w:keepNext w:val="0"/>
        <w:keepLines w:val="0"/>
        <w:pageBreakBefore w:val="0"/>
        <w:widowControl w:val="0"/>
        <w:kinsoku/>
        <w:wordWrap/>
        <w:overflowPunct/>
        <w:topLinePunct w:val="0"/>
        <w:autoSpaceDE/>
        <w:autoSpaceDN/>
        <w:bidi w:val="0"/>
        <w:adjustRightInd/>
        <w:snapToGrid/>
        <w:spacing w:after="164" w:afterLines="50"/>
        <w:textAlignment w:val="auto"/>
        <w:rPr>
          <w:rFonts w:hint="default"/>
          <w:lang w:val="en-US" w:eastAsia="zh-CN"/>
        </w:rPr>
      </w:pPr>
      <w:r>
        <w:rPr>
          <w:rFonts w:hint="eastAsia"/>
          <w:lang w:eastAsia="zh-CN"/>
        </w:rPr>
        <w:drawing>
          <wp:anchor distT="0" distB="0" distL="114300" distR="114300" simplePos="0" relativeHeight="251665408" behindDoc="0" locked="0" layoutInCell="1" allowOverlap="1">
            <wp:simplePos x="0" y="0"/>
            <wp:positionH relativeFrom="column">
              <wp:posOffset>508000</wp:posOffset>
            </wp:positionH>
            <wp:positionV relativeFrom="page">
              <wp:posOffset>1156335</wp:posOffset>
            </wp:positionV>
            <wp:extent cx="4672965" cy="5539105"/>
            <wp:effectExtent l="0" t="0" r="5715" b="8255"/>
            <wp:wrapTopAndBottom/>
            <wp:docPr id="5" name="图片 5" descr="技术路线图_极简高级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技术路线图_极简高级版 (5)"/>
                    <pic:cNvPicPr>
                      <a:picLocks noChangeAspect="1"/>
                    </pic:cNvPicPr>
                  </pic:nvPicPr>
                  <pic:blipFill>
                    <a:blip r:embed="rId44"/>
                    <a:srcRect l="7271" t="2906" r="7461" b="4522"/>
                    <a:stretch>
                      <a:fillRect/>
                    </a:stretch>
                  </pic:blipFill>
                  <pic:spPr>
                    <a:xfrm>
                      <a:off x="0" y="0"/>
                      <a:ext cx="4672965" cy="5539105"/>
                    </a:xfrm>
                    <a:prstGeom prst="rect">
                      <a:avLst/>
                    </a:prstGeom>
                  </pic:spPr>
                </pic:pic>
              </a:graphicData>
            </a:graphic>
          </wp:anchor>
        </w:drawing>
      </w:r>
      <w:r>
        <w:rPr>
          <w:rFonts w:hint="eastAsia"/>
        </w:rPr>
        <w:t xml:space="preserve">图 </w:t>
      </w:r>
      <w:r>
        <w:rPr>
          <w:rFonts w:hint="eastAsia"/>
          <w:lang w:val="en-US" w:eastAsia="zh-CN"/>
        </w:rPr>
        <w:t>1</w:t>
      </w:r>
      <w:r>
        <w:rPr>
          <w:rFonts w:hint="eastAsia"/>
        </w:rPr>
        <w:t>-</w:t>
      </w:r>
      <w:r>
        <w:rPr>
          <w:rFonts w:hint="eastAsia"/>
        </w:rPr>
        <w:fldChar w:fldCharType="begin"/>
      </w:r>
      <w:r>
        <w:instrText xml:space="preserve"> </w:instrText>
      </w:r>
      <w:r>
        <w:rPr>
          <w:rFonts w:hint="eastAsia"/>
        </w:rPr>
        <w:instrText xml:space="preserve">SEQ 图_1- \* ARABIC</w:instrText>
      </w:r>
      <w:r>
        <w:instrText xml:space="preserve"> </w:instrText>
      </w:r>
      <w:r>
        <w:fldChar w:fldCharType="separate"/>
      </w:r>
      <w:r>
        <w:rPr>
          <w:rFonts w:hint="eastAsia"/>
        </w:rPr>
        <w:t>1</w:t>
      </w:r>
      <w:r>
        <w:fldChar w:fldCharType="end"/>
      </w:r>
      <w:r>
        <w:t xml:space="preserve"> </w:t>
      </w:r>
      <w:r>
        <w:rPr>
          <w:rFonts w:hint="eastAsia"/>
          <w:lang w:val="en-US" w:eastAsia="zh-CN"/>
        </w:rPr>
        <w:t>技术路线图</w:t>
      </w:r>
    </w:p>
    <w:p w14:paraId="6943CBBA">
      <w:pPr>
        <w:rPr>
          <w:rFonts w:hint="eastAsia" w:ascii="Times New Roman" w:hAnsi="Times New Roman" w:eastAsia="宋体" w:cs="Times New Roman"/>
          <w:sz w:val="24"/>
          <w:szCs w:val="24"/>
        </w:rPr>
      </w:pPr>
      <w:r>
        <w:rPr>
          <w:rFonts w:hint="eastAsia" w:cs="Times New Roman"/>
          <w:sz w:val="24"/>
          <w:szCs w:val="24"/>
          <w:lang w:val="en-US" w:eastAsia="zh-CN"/>
        </w:rPr>
        <w:t>二、</w:t>
      </w:r>
      <w:r>
        <w:rPr>
          <w:rFonts w:hint="eastAsia" w:ascii="Times New Roman" w:hAnsi="Times New Roman" w:eastAsia="宋体" w:cs="Times New Roman"/>
          <w:sz w:val="24"/>
          <w:szCs w:val="24"/>
        </w:rPr>
        <w:t>模型构建阶段</w:t>
      </w:r>
    </w:p>
    <w:p w14:paraId="1616AE61">
      <w:pPr>
        <w:bidi w:val="0"/>
        <w:rPr>
          <w:rFonts w:hint="eastAsia"/>
        </w:rPr>
      </w:pPr>
      <w:r>
        <w:rPr>
          <w:rFonts w:hint="eastAsia"/>
        </w:rPr>
        <w:t>选取ResNet18与MobileNetV2作为特征提取主干网络，针对CIFAR-10（32×32）与Crop（224×224）的不同输入尺寸对首层结构进行适配性调整：CIFAR-10场景下将ResNet18首层卷积核由7×7改为3×3、步长由2改为1并移除最大池化层，以保留小尺寸图像的空间特征；Crop场景下保留原始大核结构以充分提取多尺度特征。两种主干网络均加载ImageNet预训练权重作为联邦训练的初始化参数，冻结浅层参数以保留通用视觉特征，仅对高层特征提取层与分类头进行梯度更新，使各客户端在小样本条件下无需从头学习底层视觉特征，加速联邦收敛。在此基础上分别构建FedAvg与FedProx两种联邦聚合框架。</w:t>
      </w:r>
    </w:p>
    <w:p w14:paraId="162F7A0D">
      <w:pPr>
        <w:rPr>
          <w:rFonts w:hint="eastAsia" w:ascii="Times New Roman" w:hAnsi="Times New Roman" w:eastAsia="宋体" w:cs="Times New Roman"/>
          <w:sz w:val="24"/>
          <w:szCs w:val="24"/>
        </w:rPr>
      </w:pPr>
      <w:r>
        <w:rPr>
          <w:rFonts w:hint="eastAsia" w:cs="Times New Roman"/>
          <w:sz w:val="24"/>
          <w:szCs w:val="24"/>
          <w:lang w:val="en-US" w:eastAsia="zh-CN"/>
        </w:rPr>
        <w:t>三、优化策略设计阶段</w:t>
      </w:r>
    </w:p>
    <w:p w14:paraId="62620286">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针对FedProx固定近端约束系数难以适应不同训练阶段的问题，设计了基于余弦函数的动态近端约束衰减机制，使约束系数</w:t>
      </w:r>
      <m:oMath>
        <m:r>
          <m:rPr/>
          <w:rPr>
            <w:rFonts w:hint="default" w:ascii="Cambria Math" w:hAnsi="Cambria Math" w:eastAsia="宋体"/>
            <w:sz w:val="24"/>
          </w:rPr>
          <m:t>μ</m:t>
        </m:r>
      </m:oMath>
      <w:r>
        <w:rPr>
          <w:rFonts w:hint="eastAsia" w:ascii="Times New Roman" w:hAnsi="Times New Roman" w:eastAsia="宋体" w:cs="Times New Roman"/>
          <w:sz w:val="24"/>
          <w:szCs w:val="24"/>
        </w:rPr>
        <w:t>随训练轮次按余弦曲线逐渐衰减至接近零，在训练前期保证聚合方向稳定，在训练后期释放各客户端对本地数据的充分拟合空间。同时引入Mixup混合增强，在各客户端本地训练时对批次内图像随机配对并执行线性插值，扩充本地有效训练样本的分布范围，缓解小样本条件下的过拟合风险。</w:t>
      </w:r>
    </w:p>
    <w:p w14:paraId="7B1E4096">
      <w:pPr>
        <w:rPr>
          <w:rFonts w:hint="eastAsia" w:ascii="Times New Roman" w:hAnsi="Times New Roman" w:eastAsia="宋体" w:cs="Times New Roman"/>
          <w:sz w:val="24"/>
          <w:szCs w:val="24"/>
        </w:rPr>
      </w:pPr>
      <w:r>
        <w:rPr>
          <w:rFonts w:hint="eastAsia" w:cs="Times New Roman"/>
          <w:sz w:val="24"/>
          <w:szCs w:val="24"/>
          <w:lang w:val="en-US" w:eastAsia="zh-CN"/>
        </w:rPr>
        <w:t>四、</w:t>
      </w:r>
      <w:r>
        <w:rPr>
          <w:rFonts w:hint="eastAsia" w:ascii="Times New Roman" w:hAnsi="Times New Roman" w:eastAsia="宋体" w:cs="Times New Roman"/>
          <w:sz w:val="24"/>
          <w:szCs w:val="24"/>
        </w:rPr>
        <w:t>实验验证阶段</w:t>
      </w:r>
    </w:p>
    <w:p w14:paraId="0B8D6D6E">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实验分三个层次展开。首先在CIFAR-10数据集上独立验证动态</w:t>
      </w:r>
      <m:oMath>
        <m:r>
          <m:rPr/>
          <w:rPr>
            <w:rFonts w:hint="default" w:ascii="Cambria Math" w:hAnsi="Cambria Math" w:eastAsia="宋体"/>
            <w:sz w:val="24"/>
          </w:rPr>
          <m:t>μ</m:t>
        </m:r>
      </m:oMath>
      <w:r>
        <w:rPr>
          <w:rFonts w:hint="eastAsia" w:ascii="Times New Roman" w:hAnsi="Times New Roman" w:eastAsia="宋体" w:cs="Times New Roman"/>
          <w:sz w:val="24"/>
          <w:szCs w:val="24"/>
        </w:rPr>
        <w:t>衰减机制的有效性，在无预训练、无Mixup的统一基线条件下，对比FedAvg、FedProx（固定</w:t>
      </w:r>
      <m:oMath>
        <m:r>
          <m:rPr/>
          <w:rPr>
            <w:rFonts w:hint="default" w:ascii="Cambria Math" w:hAnsi="Cambria Math" w:eastAsia="宋体"/>
            <w:sz w:val="24"/>
          </w:rPr>
          <m:t>μ</m:t>
        </m:r>
      </m:oMath>
      <w:r>
        <w:rPr>
          <w:rFonts w:hint="eastAsia" w:ascii="Times New Roman" w:hAnsi="Times New Roman" w:eastAsia="宋体" w:cs="Times New Roman"/>
          <w:sz w:val="24"/>
          <w:szCs w:val="24"/>
        </w:rPr>
        <w:t>）与FedProx（动态衰减</w:t>
      </w:r>
      <m:oMath>
        <m:r>
          <m:rPr/>
          <w:rPr>
            <w:rFonts w:hint="default" w:ascii="Cambria Math" w:hAnsi="Cambria Math" w:eastAsia="宋体"/>
            <w:sz w:val="24"/>
          </w:rPr>
          <m:t>μ</m:t>
        </m:r>
      </m:oMath>
      <w:r>
        <w:rPr>
          <w:rFonts w:hint="eastAsia" w:ascii="Times New Roman" w:hAnsi="Times New Roman" w:eastAsia="宋体" w:cs="Times New Roman"/>
          <w:sz w:val="24"/>
          <w:szCs w:val="24"/>
        </w:rPr>
        <w:t>）三种</w:t>
      </w:r>
      <w:r>
        <w:rPr>
          <w:rFonts w:hint="eastAsia" w:cs="Times New Roman"/>
          <w:sz w:val="24"/>
          <w:szCs w:val="24"/>
          <w:lang w:val="en-US" w:eastAsia="zh-CN"/>
        </w:rPr>
        <w:t>联邦算法</w:t>
      </w:r>
      <w:r>
        <w:rPr>
          <w:rFonts w:hint="eastAsia" w:ascii="Times New Roman" w:hAnsi="Times New Roman" w:eastAsia="宋体" w:cs="Times New Roman"/>
          <w:sz w:val="24"/>
          <w:szCs w:val="24"/>
        </w:rPr>
        <w:t>的收敛表现。随后在Crop数据集上设计多组消融实验，分别考察预训练迁移、Mixup增强、动态衰减</w:t>
      </w:r>
      <m:oMath>
        <m:r>
          <m:rPr/>
          <w:rPr>
            <w:rFonts w:hint="default" w:ascii="Cambria Math" w:hAnsi="Cambria Math" w:eastAsia="宋体"/>
            <w:sz w:val="24"/>
          </w:rPr>
          <m:t>μ</m:t>
        </m:r>
      </m:oMath>
      <w:r>
        <w:rPr>
          <w:rFonts w:hint="eastAsia" w:cs="Times New Roman"/>
          <w:sz w:val="24"/>
          <w:szCs w:val="24"/>
          <w:lang w:val="en-US" w:eastAsia="zh-CN"/>
        </w:rPr>
        <w:t>三个</w:t>
      </w:r>
      <w:r>
        <w:rPr>
          <w:rFonts w:hint="eastAsia" w:ascii="Times New Roman" w:hAnsi="Times New Roman" w:eastAsia="宋体" w:cs="Times New Roman"/>
          <w:sz w:val="24"/>
          <w:szCs w:val="24"/>
        </w:rPr>
        <w:t>组件对最终识别性能的影响。最后对ResNet18与MobileNetV2两种主干网络进行完整方案的横向对比，并在扩展泛化集上测试模型的跨域泛化准确率、推理时间与图像预处理时间，评估其在真实</w:t>
      </w:r>
      <w:r>
        <w:rPr>
          <w:rFonts w:hint="eastAsia" w:cs="Times New Roman"/>
          <w:sz w:val="24"/>
          <w:szCs w:val="24"/>
          <w:lang w:val="en-US" w:eastAsia="zh-CN"/>
        </w:rPr>
        <w:t>农业图像分类识别</w:t>
      </w:r>
      <w:r>
        <w:rPr>
          <w:rFonts w:hint="eastAsia" w:ascii="Times New Roman" w:hAnsi="Times New Roman" w:eastAsia="宋体" w:cs="Times New Roman"/>
          <w:sz w:val="24"/>
          <w:szCs w:val="24"/>
        </w:rPr>
        <w:t>场景下的实际可行性。</w:t>
      </w:r>
    </w:p>
    <w:p w14:paraId="1FE93FF7">
      <w:pPr>
        <w:rPr>
          <w:rFonts w:hint="eastAsia" w:ascii="Times New Roman" w:hAnsi="Times New Roman" w:eastAsia="宋体" w:cs="Times New Roman"/>
          <w:sz w:val="24"/>
          <w:szCs w:val="24"/>
        </w:rPr>
      </w:pPr>
      <w:r>
        <w:rPr>
          <w:rFonts w:hint="eastAsia" w:cs="Times New Roman"/>
          <w:sz w:val="24"/>
          <w:szCs w:val="24"/>
          <w:lang w:val="en-US" w:eastAsia="zh-CN"/>
        </w:rPr>
        <w:t>五、可视化系统</w:t>
      </w:r>
      <w:r>
        <w:rPr>
          <w:rFonts w:hint="eastAsia" w:ascii="Times New Roman" w:hAnsi="Times New Roman" w:eastAsia="宋体" w:cs="Times New Roman"/>
          <w:sz w:val="24"/>
          <w:szCs w:val="24"/>
        </w:rPr>
        <w:t>实现阶段</w:t>
      </w:r>
    </w:p>
    <w:p w14:paraId="01C694D0">
      <w:pPr>
        <w:rPr>
          <w:rFonts w:ascii="Times New Roman" w:hAnsi="Times New Roman" w:eastAsia="宋体" w:cs="Times New Roman"/>
          <w:sz w:val="24"/>
          <w:szCs w:val="24"/>
        </w:rPr>
      </w:pPr>
      <w:r>
        <w:rPr>
          <w:rFonts w:hint="eastAsia" w:ascii="Times New Roman" w:hAnsi="Times New Roman" w:eastAsia="宋体" w:cs="Times New Roman"/>
          <w:sz w:val="24"/>
          <w:szCs w:val="24"/>
        </w:rPr>
        <w:t>基于PyQt5框架设计并实现可视化交互</w:t>
      </w:r>
      <w:r>
        <w:rPr>
          <w:rFonts w:hint="eastAsia" w:cs="Times New Roman"/>
          <w:sz w:val="24"/>
          <w:szCs w:val="24"/>
          <w:lang w:val="en-US" w:eastAsia="zh-CN"/>
        </w:rPr>
        <w:t>系统</w:t>
      </w:r>
      <w:r>
        <w:rPr>
          <w:rFonts w:hint="eastAsia" w:ascii="Times New Roman" w:hAnsi="Times New Roman" w:eastAsia="宋体" w:cs="Times New Roman"/>
          <w:sz w:val="24"/>
          <w:szCs w:val="24"/>
        </w:rPr>
        <w:t>，集成联邦训练监控与农作物图像分类识别两大功能模块。训练监控模块提供算法、主干网络、数据集等参数的图形化配置界面，支持训练启停控制，通过进度条与日志终端展示通信轮次、准确率与损失等状态信息，训练完成后自动弹出结果分析窗口，展示准确率与损失曲线及性能指标汇总，支持图表与数据导出；农作物分类识别模块支持加载训练好的模型对单张图像进行推理识别，完成系统工程可行性验证。</w:t>
      </w:r>
    </w:p>
    <w:p w14:paraId="7A5D632B">
      <w:pPr>
        <w:ind w:firstLine="0" w:firstLineChars="0"/>
      </w:pPr>
    </w:p>
    <w:p w14:paraId="6E336F6F">
      <w:pPr>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26" w:charSpace="0"/>
        </w:sectPr>
      </w:pPr>
    </w:p>
    <w:p w14:paraId="7D4A485D">
      <w:pPr>
        <w:pStyle w:val="2"/>
        <w:spacing w:before="480" w:beforeLines="200" w:after="240" w:afterLines="100"/>
        <w:ind w:firstLine="0"/>
      </w:pPr>
      <w:bookmarkStart w:id="54" w:name="_Toc15294_ai"/>
      <w:bookmarkStart w:id="55" w:name="_Toc3815"/>
      <w:r>
        <w:rPr>
          <w:rFonts w:ascii="Times New Roman" w:hAnsi="Times New Roman" w:eastAsia="黑体" w:cs="Times New Roman"/>
          <w:kern w:val="2"/>
          <w:sz w:val="32"/>
          <w:szCs w:val="24"/>
          <w:lang w:val="zh-CN" w:eastAsia="zh-CN" w:bidi="ar-SA"/>
        </w:rPr>
        <w:t>第2章 相关理论基础与技术简介</w:t>
      </w:r>
      <w:bookmarkEnd w:id="54"/>
      <w:bookmarkEnd w:id="55"/>
    </w:p>
    <w:p w14:paraId="4C08DF3A">
      <w:pPr>
        <w:pStyle w:val="3"/>
        <w:spacing w:before="240" w:beforeLines="100" w:after="120" w:afterLines="50"/>
        <w:ind w:firstLine="0"/>
      </w:pPr>
      <w:bookmarkStart w:id="56" w:name="_Toc19212_ai_ai"/>
      <w:bookmarkStart w:id="57" w:name="_Toc2161"/>
      <w:bookmarkStart w:id="58" w:name="_Toc448094853"/>
      <w:r>
        <w:rPr>
          <w:rFonts w:hint="eastAsia" w:ascii="Times New Roman" w:hAnsi="Times New Roman" w:eastAsia="黑体" w:cs="Times New Roman"/>
          <w:bCs/>
          <w:kern w:val="2"/>
          <w:sz w:val="30"/>
          <w:szCs w:val="32"/>
          <w:lang w:val="zh-CN" w:eastAsia="zh-CN" w:bidi="ar-SA"/>
        </w:rPr>
        <w:t>2.1 联邦学习理论基础</w:t>
      </w:r>
      <w:bookmarkEnd w:id="56"/>
      <w:bookmarkEnd w:id="57"/>
    </w:p>
    <w:p w14:paraId="30DFA7DE">
      <w:r>
        <w:rPr>
          <w:rFonts w:hint="eastAsia"/>
        </w:rPr>
        <w:t>联邦学习（Federated Learning）是一种分布式机器学习范式。与传统集中式训练不同，联邦学习通过在多个本地客户端与中心服务器之间进行模型参数或梯度交互，实现全局模型的协同训练。其核心机制在于原始数据保留在各个参与方本地，仅将训练后的模型更新信息上传至服务器（McMahan et al., 2017）。</w:t>
      </w:r>
    </w:p>
    <w:p w14:paraId="1BB1E57F">
      <w:pPr>
        <w:pStyle w:val="4"/>
        <w:spacing w:before="120" w:beforeLines="50"/>
        <w:ind w:firstLine="0"/>
      </w:pPr>
      <w:bookmarkStart w:id="59" w:name="_Toc448094852_ai"/>
      <w:bookmarkStart w:id="60" w:name="_Toc485048993_ai"/>
      <w:bookmarkStart w:id="61" w:name="_Toc8472_ai"/>
      <w:bookmarkStart w:id="62" w:name="_Toc17493"/>
      <w:r>
        <w:rPr>
          <w:rFonts w:hint="eastAsia" w:ascii="Times New Roman" w:hAnsi="Times New Roman" w:eastAsia="黑体" w:cs="Times New Roman"/>
          <w:kern w:val="2"/>
          <w:sz w:val="28"/>
          <w:szCs w:val="20"/>
          <w:lang w:val="zh-CN" w:eastAsia="zh-CN" w:bidi="ar-SA"/>
        </w:rPr>
        <w:t>2.1</w:t>
      </w:r>
      <w:bookmarkEnd w:id="59"/>
      <w:r>
        <w:rPr>
          <w:rFonts w:hint="eastAsia" w:ascii="Times New Roman" w:hAnsi="Times New Roman" w:eastAsia="黑体" w:cs="Times New Roman"/>
          <w:kern w:val="2"/>
          <w:sz w:val="28"/>
          <w:szCs w:val="20"/>
          <w:lang w:val="zh-CN" w:eastAsia="zh-CN" w:bidi="ar-SA"/>
        </w:rPr>
        <w:t>.1</w:t>
      </w:r>
      <w:bookmarkEnd w:id="60"/>
      <w:r>
        <w:rPr>
          <w:rFonts w:hint="eastAsia" w:ascii="Times New Roman" w:hAnsi="Times New Roman" w:eastAsia="黑体" w:cs="Times New Roman"/>
          <w:kern w:val="2"/>
          <w:sz w:val="28"/>
          <w:szCs w:val="20"/>
          <w:lang w:val="zh-CN" w:eastAsia="zh-CN" w:bidi="ar-SA"/>
        </w:rPr>
        <w:t xml:space="preserve"> 联邦学习架构</w:t>
      </w:r>
      <w:bookmarkEnd w:id="61"/>
      <w:bookmarkEnd w:id="62"/>
    </w:p>
    <w:p w14:paraId="4EA73DEA">
      <w:pPr>
        <w:rPr>
          <w:rFonts w:hint="eastAsia"/>
        </w:rPr>
      </w:pPr>
      <w:r>
        <w:rPr>
          <w:rFonts w:hint="eastAsia"/>
        </w:rPr>
        <w:t>典型的联邦学习系统主要由中心协调端（服务器）和若干本地训练节点（客户端）构成。在每一轮通信迭代中，整个系统的运行流程通常分为三个阶段。中心服务器初始化全局模型参数，并将其下发至各个参与本轮训练的客户端。各客户端在本地利用自有数据对接收到的模型进行前向传播与反向传播计算，更新本地模型参数。最后，客户端将更新后的参数或梯度差异上传至中心服务器，由服务器按特定规则进行参数聚合，生成新一轮的全局模型。不断循环</w:t>
      </w:r>
      <w:r>
        <w:rPr>
          <w:rFonts w:hint="eastAsia"/>
          <w:lang w:val="en-US" w:eastAsia="zh-CN"/>
        </w:rPr>
        <w:t>此过程</w:t>
      </w:r>
      <w:r>
        <w:rPr>
          <w:rFonts w:hint="eastAsia"/>
        </w:rPr>
        <w:t>，直至全局模型在验证集上达到收敛条件</w:t>
      </w:r>
      <w:r>
        <w:rPr>
          <w:rFonts w:hint="eastAsia"/>
          <w:lang w:eastAsia="zh-CN"/>
        </w:rPr>
        <w:t>（</w:t>
      </w:r>
      <w:r>
        <w:rPr>
          <w:rFonts w:hint="eastAsia"/>
        </w:rPr>
        <w:t>董华 等, 2025</w:t>
      </w:r>
      <w:r>
        <w:rPr>
          <w:rFonts w:hint="eastAsia"/>
          <w:lang w:eastAsia="zh-CN"/>
        </w:rPr>
        <w:t>）。</w:t>
      </w:r>
      <w:r>
        <w:rPr>
          <w:rFonts w:hint="eastAsia"/>
        </w:rPr>
        <w:t>通过</w:t>
      </w:r>
      <w:r>
        <w:rPr>
          <w:rFonts w:hint="eastAsia"/>
          <w:lang w:val="en-US" w:eastAsia="zh-CN"/>
        </w:rPr>
        <w:t>联邦学习</w:t>
      </w:r>
      <w:r>
        <w:rPr>
          <w:rFonts w:hint="eastAsia"/>
        </w:rPr>
        <w:t>架构，系统</w:t>
      </w:r>
      <w:r>
        <w:rPr>
          <w:rFonts w:hint="eastAsia"/>
          <w:lang w:val="en-US" w:eastAsia="zh-CN"/>
        </w:rPr>
        <w:t>能</w:t>
      </w:r>
      <w:r>
        <w:rPr>
          <w:rFonts w:hint="eastAsia"/>
        </w:rPr>
        <w:t>有效避免底层数据的</w:t>
      </w:r>
      <w:r>
        <w:rPr>
          <w:rFonts w:hint="eastAsia"/>
          <w:lang w:val="en-US" w:eastAsia="zh-CN"/>
        </w:rPr>
        <w:t>跨节点</w:t>
      </w:r>
      <w:r>
        <w:rPr>
          <w:rFonts w:hint="eastAsia"/>
        </w:rPr>
        <w:t>传输。</w:t>
      </w:r>
    </w:p>
    <w:p w14:paraId="4F6C2762">
      <w:pPr>
        <w:pStyle w:val="56"/>
        <w:bidi w:val="0"/>
        <w:rPr>
          <w:rFonts w:hint="default"/>
          <w:lang w:val="en-US" w:eastAsia="zh-CN"/>
        </w:rPr>
      </w:pPr>
      <w:r>
        <w:rPr>
          <w:rFonts w:hint="eastAsia"/>
          <w:lang w:eastAsia="zh-CN"/>
        </w:rPr>
        <w:drawing>
          <wp:anchor distT="0" distB="0" distL="114300" distR="114300" simplePos="0" relativeHeight="251664384" behindDoc="0" locked="0" layoutInCell="1" allowOverlap="1">
            <wp:simplePos x="0" y="0"/>
            <wp:positionH relativeFrom="column">
              <wp:posOffset>264160</wp:posOffset>
            </wp:positionH>
            <wp:positionV relativeFrom="page">
              <wp:posOffset>5305425</wp:posOffset>
            </wp:positionV>
            <wp:extent cx="5160010" cy="3843655"/>
            <wp:effectExtent l="0" t="0" r="6350" b="12065"/>
            <wp:wrapTopAndBottom/>
            <wp:docPr id="3" name="图片 3" descr="Image_1778866323946_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_1778866323946_929"/>
                    <pic:cNvPicPr>
                      <a:picLocks noChangeAspect="1"/>
                    </pic:cNvPicPr>
                  </pic:nvPicPr>
                  <pic:blipFill>
                    <a:blip r:embed="rId45"/>
                    <a:srcRect l="9165" r="6069" b="11331"/>
                    <a:stretch>
                      <a:fillRect/>
                    </a:stretch>
                  </pic:blipFill>
                  <pic:spPr>
                    <a:xfrm>
                      <a:off x="0" y="0"/>
                      <a:ext cx="5160010" cy="3843655"/>
                    </a:xfrm>
                    <a:prstGeom prst="rect">
                      <a:avLst/>
                    </a:prstGeom>
                  </pic:spPr>
                </pic:pic>
              </a:graphicData>
            </a:graphic>
          </wp:anchor>
        </w:drawing>
      </w:r>
      <w:r>
        <w:rPr>
          <w:rFonts w:hint="eastAsia"/>
        </w:rPr>
        <w:t xml:space="preserve">图 </w:t>
      </w:r>
      <w:r>
        <w:rPr>
          <w:rFonts w:hint="eastAsia"/>
          <w:lang w:val="en-US" w:eastAsia="zh-CN"/>
        </w:rPr>
        <w:t>2</w:t>
      </w:r>
      <w:r>
        <w:rPr>
          <w:rFonts w:hint="eastAsia"/>
        </w:rPr>
        <w:t>-</w:t>
      </w:r>
      <w:r>
        <w:rPr>
          <w:rFonts w:hint="eastAsia"/>
        </w:rPr>
        <w:fldChar w:fldCharType="begin"/>
      </w:r>
      <w:r>
        <w:instrText xml:space="preserve"> </w:instrText>
      </w:r>
      <w:r>
        <w:rPr>
          <w:rFonts w:hint="eastAsia"/>
        </w:rPr>
        <w:instrText xml:space="preserve">SEQ 图_1- \* ARABIC</w:instrText>
      </w:r>
      <w:r>
        <w:instrText xml:space="preserve"> </w:instrText>
      </w:r>
      <w:r>
        <w:fldChar w:fldCharType="separate"/>
      </w:r>
      <w:r>
        <w:rPr>
          <w:rFonts w:hint="eastAsia"/>
        </w:rPr>
        <w:t>1</w:t>
      </w:r>
      <w:r>
        <w:fldChar w:fldCharType="end"/>
      </w:r>
      <w:r>
        <w:t xml:space="preserve"> </w:t>
      </w:r>
      <w:r>
        <w:rPr>
          <w:rFonts w:hint="eastAsia"/>
          <w:lang w:val="en-US" w:eastAsia="zh-CN"/>
        </w:rPr>
        <w:t>联邦学习架构图</w:t>
      </w:r>
    </w:p>
    <w:p w14:paraId="4E55C58D">
      <w:pPr>
        <w:ind w:left="0" w:leftChars="0" w:firstLine="0" w:firstLineChars="0"/>
        <w:rPr>
          <w:rFonts w:hint="eastAsia"/>
        </w:rPr>
      </w:pPr>
    </w:p>
    <w:p w14:paraId="6DED027D">
      <w:pPr>
        <w:pStyle w:val="4"/>
        <w:spacing w:before="120" w:beforeLines="50"/>
        <w:ind w:firstLine="0"/>
      </w:pPr>
      <w:bookmarkStart w:id="63" w:name="_Toc1342_ai"/>
      <w:bookmarkStart w:id="64" w:name="_Toc18701"/>
      <w:r>
        <w:rPr>
          <w:rFonts w:hint="eastAsia" w:ascii="Times New Roman" w:hAnsi="Times New Roman" w:eastAsia="黑体" w:cs="Times New Roman"/>
          <w:kern w:val="2"/>
          <w:sz w:val="28"/>
          <w:szCs w:val="20"/>
          <w:lang w:val="zh-CN" w:eastAsia="zh-CN" w:bidi="ar-SA"/>
        </w:rPr>
        <w:t>2.1.2 联邦平均算法</w:t>
      </w:r>
      <w:bookmarkEnd w:id="63"/>
      <w:bookmarkEnd w:id="64"/>
    </w:p>
    <w:p w14:paraId="4BEB2ABE">
      <w:pPr>
        <w:rPr>
          <w:rFonts w:hint="eastAsia"/>
        </w:rPr>
      </w:pPr>
      <w:r>
        <w:rPr>
          <w:rFonts w:hint="eastAsia"/>
        </w:rPr>
        <w:t>在联邦学习的参数聚合阶段，联邦平均算法（Federated Averaging, FedAvg）是最基础且应用最广泛的实现策略。算法假设共有</w:t>
      </w:r>
      <w:r>
        <w:rPr>
          <w:rFonts w:hint="eastAsia"/>
          <w:i/>
          <w:iCs/>
        </w:rPr>
        <w:t>K</w:t>
      </w:r>
      <w:r>
        <w:rPr>
          <w:rFonts w:hint="eastAsia"/>
        </w:rPr>
        <w:t>个客户端参与训练，每个客户端</w:t>
      </w:r>
      <w:r>
        <w:rPr>
          <w:rFonts w:hint="eastAsia"/>
          <w:i/>
          <w:iCs/>
        </w:rPr>
        <w:t>k</w:t>
      </w:r>
      <w:r>
        <w:rPr>
          <w:rFonts w:hint="eastAsia"/>
        </w:rPr>
        <w:t>拥有的本地数据量为</w:t>
      </w:r>
      <m:oMath>
        <m:sSub>
          <m:sSubPr>
            <m:ctrlPr>
              <w:rPr>
                <w:rFonts w:ascii="Cambria Math" w:hAnsi="Cambria Math"/>
                <w:i/>
                <w:iCs/>
              </w:rPr>
            </m:ctrlPr>
          </m:sSubPr>
          <m:e>
            <m:r>
              <m:rPr/>
              <w:rPr>
                <w:rFonts w:hint="default" w:ascii="Cambria Math" w:hAnsi="Cambria Math"/>
              </w:rPr>
              <m:t>n</m:t>
            </m:r>
            <m:ctrlPr>
              <w:rPr>
                <w:rFonts w:ascii="Cambria Math" w:hAnsi="Cambria Math"/>
                <w:i/>
                <w:iCs/>
              </w:rPr>
            </m:ctrlPr>
          </m:e>
          <m:sub>
            <m:r>
              <m:rPr/>
              <w:rPr>
                <w:rFonts w:hint="default" w:ascii="Cambria Math" w:hAnsi="Cambria Math"/>
              </w:rPr>
              <m:t>k</m:t>
            </m:r>
            <m:ctrlPr>
              <w:rPr>
                <w:rFonts w:ascii="Cambria Math" w:hAnsi="Cambria Math"/>
                <w:i/>
                <w:iCs/>
              </w:rPr>
            </m:ctrlPr>
          </m:sub>
        </m:sSub>
      </m:oMath>
      <w:r>
        <w:rPr>
          <w:rFonts w:hint="eastAsia"/>
        </w:rPr>
        <w:t>，总数据量为</w:t>
      </w:r>
      <w:r>
        <w:rPr>
          <w:rFonts w:hint="eastAsia"/>
          <w:i/>
          <w:iCs/>
        </w:rPr>
        <w:t>N</w:t>
      </w:r>
      <w:r>
        <w:rPr>
          <w:rFonts w:hint="eastAsia"/>
        </w:rPr>
        <w:t>。在第</w:t>
      </w:r>
      <w:r>
        <w:rPr>
          <w:rFonts w:hint="eastAsia"/>
          <w:i/>
          <w:iCs/>
        </w:rPr>
        <w:t>t</w:t>
      </w:r>
      <w:r>
        <w:rPr>
          <w:rFonts w:hint="eastAsia"/>
        </w:rPr>
        <w:t>轮通信中，中心服务器将当前的全局模型参数</w:t>
      </w:r>
      <m:oMath>
        <m:sSub>
          <m:sSubPr>
            <m:ctrlPr>
              <w:rPr>
                <w:rFonts w:ascii="Cambria Math" w:hAnsi="Cambria Math"/>
                <w:i/>
                <w:iCs/>
              </w:rPr>
            </m:ctrlPr>
          </m:sSubPr>
          <m:e>
            <m:r>
              <m:rPr/>
              <w:rPr>
                <w:rFonts w:hint="default" w:ascii="Cambria Math" w:hAnsi="Cambria Math"/>
              </w:rPr>
              <m:t>w</m:t>
            </m:r>
            <m:ctrlPr>
              <w:rPr>
                <w:rFonts w:ascii="Cambria Math" w:hAnsi="Cambria Math"/>
                <w:i/>
                <w:iCs/>
              </w:rPr>
            </m:ctrlPr>
          </m:e>
          <m:sub>
            <m:r>
              <m:rPr/>
              <w:rPr>
                <w:rFonts w:hint="default" w:ascii="Cambria Math" w:hAnsi="Cambria Math"/>
              </w:rPr>
              <m:t>t</m:t>
            </m:r>
            <m:ctrlPr>
              <w:rPr>
                <w:rFonts w:ascii="Cambria Math" w:hAnsi="Cambria Math"/>
                <w:i/>
                <w:iCs/>
              </w:rPr>
            </m:ctrlPr>
          </m:sub>
        </m:sSub>
      </m:oMath>
      <w:r>
        <w:rPr>
          <w:rFonts w:hint="eastAsia"/>
        </w:rPr>
        <w:t>广播给各客户端。</w:t>
      </w:r>
    </w:p>
    <w:p w14:paraId="5F41EA41">
      <w:pPr>
        <w:rPr>
          <w:rFonts w:hint="eastAsia"/>
        </w:rPr>
      </w:pPr>
      <w:r>
        <w:rPr>
          <w:rFonts w:hint="eastAsia"/>
        </w:rPr>
        <w:t>客户端</w:t>
      </w:r>
      <w:r>
        <w:rPr>
          <w:rFonts w:hint="eastAsia"/>
          <w:i/>
          <w:iCs/>
        </w:rPr>
        <w:t>k</w:t>
      </w:r>
      <w:r>
        <w:rPr>
          <w:rFonts w:hint="eastAsia"/>
        </w:rPr>
        <w:t>接收到</w:t>
      </w:r>
      <m:oMath>
        <m:sSub>
          <m:sSubPr>
            <m:ctrlPr>
              <w:rPr>
                <w:rFonts w:ascii="Cambria Math" w:hAnsi="Cambria Math"/>
                <w:i/>
                <w:iCs/>
              </w:rPr>
            </m:ctrlPr>
          </m:sSubPr>
          <m:e>
            <m:r>
              <m:rPr/>
              <w:rPr>
                <w:rFonts w:hint="default" w:ascii="Cambria Math" w:hAnsi="Cambria Math"/>
              </w:rPr>
              <m:t>w</m:t>
            </m:r>
            <m:ctrlPr>
              <w:rPr>
                <w:rFonts w:ascii="Cambria Math" w:hAnsi="Cambria Math"/>
                <w:i/>
                <w:iCs/>
              </w:rPr>
            </m:ctrlPr>
          </m:e>
          <m:sub>
            <m:r>
              <m:rPr/>
              <w:rPr>
                <w:rFonts w:hint="default" w:ascii="Cambria Math" w:hAnsi="Cambria Math"/>
              </w:rPr>
              <m:t>t</m:t>
            </m:r>
            <m:ctrlPr>
              <w:rPr>
                <w:rFonts w:ascii="Cambria Math" w:hAnsi="Cambria Math"/>
                <w:i/>
                <w:iCs/>
              </w:rPr>
            </m:ctrlPr>
          </m:sub>
        </m:sSub>
      </m:oMath>
      <w:r>
        <w:rPr>
          <w:rFonts w:hint="eastAsia"/>
        </w:rPr>
        <w:t>后，将其作为本地模型的初始权重，并利用本地数据集在目标函数</w:t>
      </w:r>
      <m:oMath>
        <m:sSub>
          <m:sSubPr>
            <m:ctrlPr>
              <w:rPr>
                <w:rFonts w:ascii="Cambria Math" w:hAnsi="Cambria Math"/>
                <w:i/>
                <w:iCs/>
              </w:rPr>
            </m:ctrlPr>
          </m:sSubPr>
          <m:e>
            <m:r>
              <m:rPr/>
              <w:rPr>
                <w:rFonts w:hint="default" w:ascii="Cambria Math" w:hAnsi="Cambria Math"/>
              </w:rPr>
              <m:t>F</m:t>
            </m:r>
            <m:ctrlPr>
              <w:rPr>
                <w:rFonts w:ascii="Cambria Math" w:hAnsi="Cambria Math"/>
                <w:i/>
                <w:iCs/>
              </w:rPr>
            </m:ctrlPr>
          </m:e>
          <m:sub>
            <m:r>
              <m:rPr/>
              <w:rPr>
                <w:rFonts w:hint="default" w:ascii="Cambria Math" w:hAnsi="Cambria Math"/>
              </w:rPr>
              <m:t>k</m:t>
            </m:r>
            <m:ctrlPr>
              <w:rPr>
                <w:rFonts w:ascii="Cambria Math" w:hAnsi="Cambria Math"/>
                <w:i/>
                <w:iCs/>
              </w:rPr>
            </m:ctrlPr>
          </m:sub>
        </m:sSub>
        <m:r>
          <m:rPr/>
          <w:rPr>
            <w:rFonts w:hint="default" w:ascii="Cambria Math" w:hAnsi="Cambria Math"/>
          </w:rPr>
          <m:t>(w)</m:t>
        </m:r>
      </m:oMath>
      <w:r>
        <w:rPr>
          <w:rFonts w:hint="eastAsia"/>
        </w:rPr>
        <w:t>上执行</w:t>
      </w:r>
      <m:oMath>
        <m:r>
          <m:rPr/>
          <w:rPr>
            <w:rFonts w:hint="default" w:ascii="Cambria Math" w:hAnsi="Cambria Math"/>
            <w:sz w:val="24"/>
          </w:rPr>
          <m:t>E</m:t>
        </m:r>
      </m:oMath>
      <w:r>
        <w:rPr>
          <w:rFonts w:hint="eastAsia"/>
        </w:rPr>
        <w:t>个</w:t>
      </w:r>
      <w:r>
        <w:rPr>
          <w:rFonts w:hint="eastAsia"/>
          <w:lang w:val="en-US" w:eastAsia="zh-CN"/>
        </w:rPr>
        <w:t>训练轮次</w:t>
      </w:r>
      <w:r>
        <w:rPr>
          <w:rFonts w:hint="eastAsia"/>
        </w:rPr>
        <w:t>的随机梯度下降（SGD）更新，得到本地更新后的模型参数</w:t>
      </w:r>
      <m:oMath>
        <m:sSubSup>
          <m:sSubSupPr>
            <m:ctrlPr>
              <w:rPr>
                <w:rFonts w:ascii="Cambria Math" w:hAnsi="Cambria Math"/>
                <w:i/>
                <w:iCs/>
              </w:rPr>
            </m:ctrlPr>
          </m:sSubSupPr>
          <m:e>
            <m:r>
              <m:rPr/>
              <w:rPr>
                <w:rFonts w:hint="default" w:ascii="Cambria Math" w:hAnsi="Cambria Math"/>
              </w:rPr>
              <m:t>w</m:t>
            </m:r>
            <m:ctrlPr>
              <w:rPr>
                <w:rFonts w:ascii="Cambria Math" w:hAnsi="Cambria Math"/>
                <w:i/>
                <w:iCs/>
              </w:rPr>
            </m:ctrlPr>
          </m:e>
          <m:sub>
            <m:r>
              <m:rPr/>
              <w:rPr>
                <w:rFonts w:hint="default" w:ascii="Cambria Math" w:hAnsi="Cambria Math"/>
              </w:rPr>
              <m:t>t+1</m:t>
            </m:r>
            <m:ctrlPr>
              <w:rPr>
                <w:rFonts w:ascii="Cambria Math" w:hAnsi="Cambria Math"/>
                <w:i/>
                <w:iCs/>
              </w:rPr>
            </m:ctrlPr>
          </m:sub>
          <m:sup>
            <m:r>
              <m:rPr/>
              <w:rPr>
                <w:rFonts w:hint="default" w:ascii="Cambria Math" w:hAnsi="Cambria Math"/>
              </w:rPr>
              <m:t>k</m:t>
            </m:r>
            <m:ctrlPr>
              <w:rPr>
                <w:rFonts w:ascii="Cambria Math" w:hAnsi="Cambria Math"/>
                <w:i/>
                <w:iCs/>
              </w:rPr>
            </m:ctrlPr>
          </m:sup>
        </m:sSubSup>
      </m:oMath>
      <w:r>
        <w:rPr>
          <w:rFonts w:hint="eastAsia"/>
        </w:rPr>
        <w:t>。完成本地训练后，各客户端将参数上传。中心服务器则根据各客户端的样本数量占总样本量的比例，对收集到的本地模型参数进行加权平均聚合，全局更新公式为：</w:t>
      </w:r>
    </w:p>
    <w:p w14:paraId="36D0A00B">
      <w:pPr>
        <w:pStyle w:val="44"/>
        <w:bidi w:val="0"/>
        <w:rPr>
          <w:rFonts w:hint="default" w:cs="Cambria Math"/>
          <w:i w:val="0"/>
          <w:iCs/>
          <w:lang w:val="en-US" w:eastAsia="zh-CN"/>
        </w:rPr>
      </w:pPr>
      <m:oMathPara>
        <m:oMath>
          <m:eqArr>
            <m:eqArrPr>
              <m:maxDist m:val="1"/>
              <m:ctrlPr>
                <w:rPr>
                  <w:rFonts w:hint="default" w:cs="Cambria Math"/>
                  <w:i w:val="0"/>
                  <w:iCs/>
                  <w:lang w:val="en-US" w:eastAsia="zh-CN"/>
                </w:rPr>
              </m:ctrlPr>
            </m:eqArrPr>
            <m:e>
              <m:sSub>
                <m:sSubPr>
                  <m:ctrlPr>
                    <w:rPr>
                      <w:rFonts w:hint="default" w:ascii="Cambria Math" w:hAnsi="Cambria Math" w:cs="Cambria Math"/>
                      <w:i/>
                      <w:iCs/>
                    </w:rPr>
                  </m:ctrlPr>
                </m:sSubPr>
                <m:e>
                  <m:r>
                    <m:rPr/>
                    <w:rPr>
                      <w:rFonts w:hint="default" w:ascii="Cambria Math" w:hAnsi="Cambria Math" w:cs="Cambria Math"/>
                    </w:rPr>
                    <m:t>w</m:t>
                  </m:r>
                  <m:ctrlPr>
                    <w:rPr>
                      <w:rFonts w:hint="default" w:ascii="Cambria Math" w:hAnsi="Cambria Math" w:cs="Cambria Math"/>
                      <w:i/>
                      <w:iCs/>
                    </w:rPr>
                  </m:ctrlPr>
                </m:e>
                <m:sub>
                  <m:r>
                    <m:rPr/>
                    <w:rPr>
                      <w:rFonts w:hint="default" w:ascii="Cambria Math" w:hAnsi="Cambria Math" w:cs="Cambria Math"/>
                    </w:rPr>
                    <m:t>t+1</m:t>
                  </m:r>
                  <m:ctrlPr>
                    <w:rPr>
                      <w:rFonts w:hint="default" w:ascii="Cambria Math" w:hAnsi="Cambria Math" w:cs="Cambria Math"/>
                      <w:i/>
                      <w:iCs/>
                    </w:rPr>
                  </m:ctrlPr>
                </m:sub>
              </m:sSub>
              <m:r>
                <m:rPr/>
                <w:rPr>
                  <w:rFonts w:hint="default" w:ascii="Cambria Math" w:hAnsi="Cambria Math" w:cs="Cambria Math"/>
                </w:rPr>
                <m:t>=</m:t>
              </m:r>
              <m:nary>
                <m:naryPr>
                  <m:chr m:val="∑"/>
                  <m:limLoc m:val="subSup"/>
                  <m:ctrlPr>
                    <w:rPr>
                      <w:rFonts w:hint="default" w:ascii="Cambria Math" w:hAnsi="Cambria Math" w:cs="Cambria Math"/>
                      <w:i/>
                      <w:iCs/>
                    </w:rPr>
                  </m:ctrlPr>
                </m:naryPr>
                <m:sub>
                  <m:r>
                    <m:rPr/>
                    <w:rPr>
                      <w:rFonts w:hint="default" w:ascii="Cambria Math" w:hAnsi="Cambria Math" w:cs="Cambria Math"/>
                    </w:rPr>
                    <m:t>k=1</m:t>
                  </m:r>
                  <m:ctrlPr>
                    <w:rPr>
                      <w:rFonts w:hint="default" w:ascii="Cambria Math" w:hAnsi="Cambria Math" w:cs="Cambria Math"/>
                      <w:i/>
                      <w:iCs/>
                    </w:rPr>
                  </m:ctrlPr>
                </m:sub>
                <m:sup>
                  <m:r>
                    <m:rPr/>
                    <w:rPr>
                      <w:rFonts w:hint="default" w:ascii="Cambria Math" w:hAnsi="Cambria Math" w:cs="Cambria Math"/>
                    </w:rPr>
                    <m:t>K</m:t>
                  </m:r>
                  <m:ctrlPr>
                    <w:rPr>
                      <w:rFonts w:hint="default" w:ascii="Cambria Math" w:hAnsi="Cambria Math" w:cs="Cambria Math"/>
                      <w:i/>
                      <w:iCs/>
                    </w:rPr>
                  </m:ctrlPr>
                </m:sup>
                <m:e>
                  <m:f>
                    <m:fPr>
                      <m:ctrlPr>
                        <w:rPr>
                          <w:rFonts w:hint="default" w:ascii="Cambria Math" w:hAnsi="Cambria Math" w:cs="Cambria Math"/>
                          <w:i/>
                          <w:iCs/>
                        </w:rPr>
                      </m:ctrlPr>
                    </m:fPr>
                    <m:num>
                      <m:sSub>
                        <m:sSubPr>
                          <m:ctrlPr>
                            <w:rPr>
                              <w:rFonts w:hint="default" w:ascii="Cambria Math" w:hAnsi="Cambria Math" w:cs="Cambria Math"/>
                              <w:i/>
                              <w:iCs/>
                            </w:rPr>
                          </m:ctrlPr>
                        </m:sSubPr>
                        <m:e>
                          <m:r>
                            <m:rPr/>
                            <w:rPr>
                              <w:rFonts w:hint="default" w:ascii="Cambria Math" w:hAnsi="Cambria Math" w:cs="Cambria Math"/>
                            </w:rPr>
                            <m:t>n</m:t>
                          </m:r>
                          <m:ctrlPr>
                            <w:rPr>
                              <w:rFonts w:hint="default" w:ascii="Cambria Math" w:hAnsi="Cambria Math" w:cs="Cambria Math"/>
                              <w:i/>
                              <w:iCs/>
                            </w:rPr>
                          </m:ctrlPr>
                        </m:e>
                        <m:sub>
                          <m:r>
                            <m:rPr/>
                            <w:rPr>
                              <w:rFonts w:hint="default" w:ascii="Cambria Math" w:hAnsi="Cambria Math" w:cs="Cambria Math"/>
                            </w:rPr>
                            <m:t>k</m:t>
                          </m:r>
                          <m:ctrlPr>
                            <w:rPr>
                              <w:rFonts w:hint="default" w:ascii="Cambria Math" w:hAnsi="Cambria Math" w:cs="Cambria Math"/>
                              <w:i/>
                              <w:iCs/>
                            </w:rPr>
                          </m:ctrlPr>
                        </m:sub>
                      </m:sSub>
                      <m:ctrlPr>
                        <w:rPr>
                          <w:rFonts w:hint="default" w:ascii="Cambria Math" w:hAnsi="Cambria Math" w:cs="Cambria Math"/>
                          <w:i/>
                          <w:iCs/>
                        </w:rPr>
                      </m:ctrlPr>
                    </m:num>
                    <m:den>
                      <m:r>
                        <m:rPr/>
                        <w:rPr>
                          <w:rFonts w:hint="default" w:ascii="Cambria Math" w:hAnsi="Cambria Math" w:cs="Cambria Math"/>
                        </w:rPr>
                        <m:t>N</m:t>
                      </m:r>
                      <m:ctrlPr>
                        <w:rPr>
                          <w:rFonts w:hint="default" w:ascii="Cambria Math" w:hAnsi="Cambria Math" w:cs="Cambria Math"/>
                          <w:i/>
                          <w:iCs/>
                        </w:rPr>
                      </m:ctrlPr>
                    </m:den>
                  </m:f>
                  <m:ctrlPr>
                    <w:rPr>
                      <w:rFonts w:hint="default" w:ascii="Cambria Math" w:hAnsi="Cambria Math" w:cs="Cambria Math"/>
                      <w:i/>
                      <w:iCs/>
                    </w:rPr>
                  </m:ctrlPr>
                </m:e>
              </m:nary>
              <m:sSubSup>
                <m:sSubSupPr>
                  <m:ctrlPr>
                    <w:rPr>
                      <w:rFonts w:hint="default" w:ascii="Cambria Math" w:hAnsi="Cambria Math" w:cs="Cambria Math"/>
                      <w:i/>
                      <w:iCs/>
                    </w:rPr>
                  </m:ctrlPr>
                </m:sSubSupPr>
                <m:e>
                  <m:r>
                    <m:rPr/>
                    <w:rPr>
                      <w:rFonts w:hint="default" w:ascii="Cambria Math" w:hAnsi="Cambria Math" w:cs="Cambria Math"/>
                    </w:rPr>
                    <m:t>w</m:t>
                  </m:r>
                  <m:ctrlPr>
                    <w:rPr>
                      <w:rFonts w:hint="default" w:ascii="Cambria Math" w:hAnsi="Cambria Math" w:cs="Cambria Math"/>
                      <w:i/>
                      <w:iCs/>
                    </w:rPr>
                  </m:ctrlPr>
                </m:e>
                <m:sub>
                  <m:r>
                    <m:rPr/>
                    <w:rPr>
                      <w:rFonts w:hint="default" w:ascii="Cambria Math" w:hAnsi="Cambria Math" w:cs="Cambria Math"/>
                    </w:rPr>
                    <m:t>t+1</m:t>
                  </m:r>
                  <m:ctrlPr>
                    <w:rPr>
                      <w:rFonts w:hint="default" w:ascii="Cambria Math" w:hAnsi="Cambria Math" w:cs="Cambria Math"/>
                      <w:i/>
                      <w:iCs/>
                    </w:rPr>
                  </m:ctrlPr>
                </m:sub>
                <m:sup>
                  <m:r>
                    <m:rPr/>
                    <w:rPr>
                      <w:rFonts w:hint="default" w:ascii="Cambria Math" w:hAnsi="Cambria Math" w:cs="Cambria Math"/>
                    </w:rPr>
                    <m:t>k</m:t>
                  </m:r>
                  <m:ctrlPr>
                    <w:rPr>
                      <w:rFonts w:hint="default" w:ascii="Cambria Math" w:hAnsi="Cambria Math" w:cs="Cambria Math"/>
                      <w:i/>
                      <w:iCs/>
                    </w:rPr>
                  </m:ctrlPr>
                </m:sup>
              </m:sSubSup>
              <m:r>
                <m:rPr>
                  <m:sty m:val="p"/>
                </m:rPr>
                <w:rPr>
                  <w:rFonts w:hint="default" w:cs="Cambria Math"/>
                  <w:lang w:val="en-US" w:eastAsia="zh-CN"/>
                </w:rPr>
                <m:t>#</m:t>
              </m:r>
              <m:r>
                <m:rPr>
                  <m:sty m:val="p"/>
                </m:rPr>
                <w:rPr>
                  <w:rFonts w:hint="eastAsia" w:cs="Cambria Math"/>
                  <w:lang w:val="en-US" w:eastAsia="zh-CN"/>
                </w:rPr>
                <m:t>公式（</m:t>
              </m:r>
              <m:r>
                <m:rPr>
                  <m:nor/>
                  <m:sty m:val="p"/>
                </m:rPr>
                <w:rPr>
                  <w:rFonts w:hint="default" w:ascii="Times New Roman" w:hAnsi="Times New Roman" w:cs="Times New Roman"/>
                  <w:b w:val="0"/>
                  <w:i w:val="0"/>
                  <w:lang w:val="en-US" w:eastAsia="zh-CN"/>
                </w:rPr>
                <m:t>2-1</m:t>
              </m:r>
              <m:r>
                <m:rPr>
                  <m:sty m:val="p"/>
                </m:rPr>
                <w:rPr>
                  <w:rFonts w:hint="eastAsia" w:cs="Cambria Math"/>
                  <w:lang w:val="en-US" w:eastAsia="zh-CN"/>
                </w:rPr>
                <m:t>）</m:t>
              </m:r>
              <m:ctrlPr>
                <w:rPr>
                  <w:rFonts w:hint="default" w:cs="Cambria Math"/>
                  <w:i w:val="0"/>
                  <w:iCs/>
                  <w:lang w:val="en-US" w:eastAsia="zh-CN"/>
                </w:rPr>
              </m:ctrlPr>
            </m:e>
          </m:eqArr>
        </m:oMath>
      </m:oMathPara>
    </w:p>
    <w:p w14:paraId="247BC440">
      <w:pPr>
        <w:rPr>
          <w:rFonts w:hint="eastAsia"/>
        </w:rPr>
      </w:pPr>
      <w:r>
        <w:rPr>
          <w:rFonts w:hint="eastAsia"/>
        </w:rPr>
        <w:t>通过上述公式，FedAvg算法能够将多个本地节点分散学习到的特征映射整合到统一的全局模型中，进而驱动整个分布式网络的协同优化。</w:t>
      </w:r>
    </w:p>
    <w:p w14:paraId="2D095947">
      <w:pPr>
        <w:pStyle w:val="3"/>
        <w:spacing w:before="240" w:beforeLines="100" w:after="120" w:afterLines="50"/>
        <w:ind w:firstLine="0"/>
      </w:pPr>
      <w:bookmarkStart w:id="65" w:name="_Toc15336"/>
      <w:r>
        <w:rPr>
          <w:rFonts w:hint="eastAsia" w:ascii="Times New Roman" w:hAnsi="Times New Roman" w:eastAsia="黑体" w:cs="Times New Roman"/>
          <w:bCs/>
          <w:kern w:val="2"/>
          <w:sz w:val="30"/>
          <w:szCs w:val="32"/>
          <w:lang w:val="zh-CN" w:eastAsia="zh-CN" w:bidi="ar-SA"/>
        </w:rPr>
        <w:t>2.</w:t>
      </w:r>
      <w:r>
        <w:rPr>
          <w:rFonts w:hint="eastAsia" w:cs="Times New Roman"/>
          <w:bCs/>
          <w:kern w:val="2"/>
          <w:sz w:val="30"/>
          <w:szCs w:val="32"/>
          <w:lang w:val="en-US" w:eastAsia="zh-CN" w:bidi="ar-SA"/>
        </w:rPr>
        <w:t>2</w:t>
      </w:r>
      <w:r>
        <w:rPr>
          <w:rFonts w:hint="eastAsia" w:ascii="Times New Roman" w:hAnsi="Times New Roman" w:eastAsia="黑体" w:cs="Times New Roman"/>
          <w:bCs/>
          <w:kern w:val="2"/>
          <w:sz w:val="30"/>
          <w:szCs w:val="32"/>
          <w:lang w:val="zh-CN" w:eastAsia="zh-CN" w:bidi="ar-SA"/>
        </w:rPr>
        <w:t xml:space="preserve"> 异构数据环境下的联邦优化</w:t>
      </w:r>
      <w:bookmarkEnd w:id="65"/>
    </w:p>
    <w:p w14:paraId="4F89FA74">
      <w:r>
        <w:rPr>
          <w:rFonts w:hint="eastAsia"/>
        </w:rPr>
        <w:t>在实际的分布式场景中，联邦学习面临的一个主要挑战是各个客户端数据的统计异构性（Statistical Heterogeneity）。针对这一问题进行算法层面的优化，是保障联邦协同训练效果的关键步骤。</w:t>
      </w:r>
    </w:p>
    <w:p w14:paraId="246DB001">
      <w:pPr>
        <w:pStyle w:val="4"/>
        <w:spacing w:before="120" w:beforeLines="50"/>
        <w:ind w:firstLine="0"/>
      </w:pPr>
      <w:bookmarkStart w:id="66" w:name="_Toc8644"/>
      <w:r>
        <w:rPr>
          <w:rFonts w:hint="eastAsia" w:ascii="Times New Roman" w:hAnsi="Times New Roman" w:eastAsia="黑体" w:cs="Times New Roman"/>
          <w:kern w:val="2"/>
          <w:sz w:val="28"/>
          <w:szCs w:val="20"/>
          <w:lang w:val="zh-CN" w:eastAsia="zh-CN" w:bidi="ar-SA"/>
        </w:rPr>
        <w:t>2.</w:t>
      </w:r>
      <w:r>
        <w:rPr>
          <w:rFonts w:hint="eastAsia" w:cs="Times New Roman"/>
          <w:kern w:val="2"/>
          <w:sz w:val="28"/>
          <w:szCs w:val="20"/>
          <w:lang w:val="en-US" w:eastAsia="zh-CN" w:bidi="ar-SA"/>
        </w:rPr>
        <w:t>2</w:t>
      </w:r>
      <w:r>
        <w:rPr>
          <w:rFonts w:hint="eastAsia" w:ascii="Times New Roman" w:hAnsi="Times New Roman" w:eastAsia="黑体" w:cs="Times New Roman"/>
          <w:kern w:val="2"/>
          <w:sz w:val="28"/>
          <w:szCs w:val="20"/>
          <w:lang w:val="zh-CN" w:eastAsia="zh-CN" w:bidi="ar-SA"/>
        </w:rPr>
        <w:t>.1 Non-IID数据与客户端漂移</w:t>
      </w:r>
      <w:bookmarkEnd w:id="66"/>
    </w:p>
    <w:p w14:paraId="43980CCF">
      <w:pPr>
        <w:rPr>
          <w:rFonts w:hint="eastAsia"/>
        </w:rPr>
      </w:pPr>
      <w:r>
        <w:rPr>
          <w:rFonts w:hint="eastAsia"/>
        </w:rPr>
        <w:t>标准的联邦平均算法（FedAvg）在假设所有客户端数据满足独立同分布（Independent and Identically Distributed, IID）条件时能够表现出良好的收敛性。然而在实际农业应用中，不同农户或基地采集的图像在作物品种及样本数量上往往存在较大差异，即数据呈现出明显的非独立同分布（Non-IID）特征</w:t>
      </w:r>
      <w:r>
        <w:rPr>
          <w:rFonts w:hint="eastAsia"/>
          <w:lang w:eastAsia="zh-CN"/>
        </w:rPr>
        <w:t>（</w:t>
      </w:r>
      <w:r>
        <w:rPr>
          <w:rFonts w:hint="eastAsia"/>
        </w:rPr>
        <w:t>黄炯炯, 2024</w:t>
      </w:r>
      <w:r>
        <w:rPr>
          <w:rFonts w:hint="eastAsia"/>
          <w:lang w:eastAsia="zh-CN"/>
        </w:rPr>
        <w:t>）</w:t>
      </w:r>
      <w:r>
        <w:rPr>
          <w:rFonts w:hint="eastAsia"/>
        </w:rPr>
        <w:t>。</w:t>
      </w:r>
    </w:p>
    <w:p w14:paraId="5C322833">
      <w:pPr>
        <w:rPr>
          <w:rFonts w:hint="eastAsia"/>
        </w:rPr>
      </w:pPr>
      <w:r>
        <w:rPr>
          <w:rFonts w:hint="eastAsia"/>
        </w:rPr>
        <w:t>在Non-IID数据环境下，各个客户端的本地数据分布</w:t>
      </w:r>
      <m:oMath>
        <m:sSub>
          <m:sSubPr>
            <m:ctrlPr>
              <w:rPr>
                <w:rFonts w:ascii="Cambria Math" w:hAnsi="Cambria Math"/>
                <w:i/>
                <w:iCs/>
                <w:sz w:val="24"/>
              </w:rPr>
            </m:ctrlPr>
          </m:sSubPr>
          <m:e>
            <m:r>
              <m:rPr/>
              <w:rPr>
                <w:rFonts w:hint="default" w:ascii="Cambria Math" w:hAnsi="Cambria Math"/>
                <w:sz w:val="24"/>
              </w:rPr>
              <m:t>P</m:t>
            </m:r>
            <m:ctrlPr>
              <w:rPr>
                <w:rFonts w:ascii="Cambria Math" w:hAnsi="Cambria Math"/>
                <w:i/>
                <w:iCs/>
                <w:sz w:val="24"/>
              </w:rPr>
            </m:ctrlPr>
          </m:e>
          <m:sub>
            <m:r>
              <m:rPr/>
              <w:rPr>
                <w:rFonts w:hint="default" w:ascii="Cambria Math" w:hAnsi="Cambria Math"/>
                <w:sz w:val="24"/>
              </w:rPr>
              <m:t>k</m:t>
            </m:r>
            <m:ctrlPr>
              <w:rPr>
                <w:rFonts w:ascii="Cambria Math" w:hAnsi="Cambria Math"/>
                <w:i/>
                <w:iCs/>
                <w:sz w:val="24"/>
              </w:rPr>
            </m:ctrlPr>
          </m:sub>
        </m:sSub>
      </m:oMath>
      <w:r>
        <w:rPr>
          <w:rFonts w:hint="eastAsia"/>
        </w:rPr>
        <w:t>与全局数据分布</w:t>
      </w:r>
      <m:oMath>
        <m:r>
          <m:rPr/>
          <w:rPr>
            <w:rFonts w:hint="default" w:ascii="Cambria Math" w:hAnsi="Cambria Math"/>
            <w:sz w:val="24"/>
          </w:rPr>
          <m:t>P</m:t>
        </m:r>
      </m:oMath>
      <w:r>
        <w:rPr>
          <w:rFonts w:hint="eastAsia"/>
        </w:rPr>
        <w:t>并不一致，导致其本地优化的经验风险函数与全局目标函数存在偏差。因此在客户端执行多步本地梯度下降时，本地模型参数会过度拟合于本地的数据分布，逐渐偏离全局最优解的方向。这种现象被称为“客户端漂移”（Client Drift），</w:t>
      </w:r>
      <w:r>
        <w:rPr>
          <w:rFonts w:hint="eastAsia"/>
          <w:lang w:val="en-US" w:eastAsia="zh-CN"/>
        </w:rPr>
        <w:t>易</w:t>
      </w:r>
      <w:r>
        <w:rPr>
          <w:rFonts w:hint="eastAsia"/>
        </w:rPr>
        <w:t>导致聚合后的全局模型性能下降，甚至引发训练过程的震荡和发散。</w:t>
      </w:r>
    </w:p>
    <w:p w14:paraId="466066BE">
      <w:pPr>
        <w:pStyle w:val="4"/>
        <w:spacing w:before="120" w:beforeLines="50"/>
        <w:ind w:firstLine="0"/>
      </w:pPr>
      <w:bookmarkStart w:id="67" w:name="_Toc12446"/>
      <w:r>
        <w:rPr>
          <w:rFonts w:hint="eastAsia" w:ascii="Times New Roman" w:hAnsi="Times New Roman" w:eastAsia="黑体" w:cs="Times New Roman"/>
          <w:kern w:val="2"/>
          <w:sz w:val="28"/>
          <w:szCs w:val="20"/>
          <w:lang w:val="zh-CN" w:eastAsia="zh-CN" w:bidi="ar-SA"/>
        </w:rPr>
        <w:t>2.</w:t>
      </w:r>
      <w:r>
        <w:rPr>
          <w:rFonts w:hint="eastAsia" w:cs="Times New Roman"/>
          <w:kern w:val="2"/>
          <w:sz w:val="28"/>
          <w:szCs w:val="20"/>
          <w:lang w:val="en-US" w:eastAsia="zh-CN" w:bidi="ar-SA"/>
        </w:rPr>
        <w:t>2</w:t>
      </w:r>
      <w:r>
        <w:rPr>
          <w:rFonts w:hint="eastAsia" w:ascii="Times New Roman" w:hAnsi="Times New Roman" w:eastAsia="黑体" w:cs="Times New Roman"/>
          <w:kern w:val="2"/>
          <w:sz w:val="28"/>
          <w:szCs w:val="20"/>
          <w:lang w:val="zh-CN" w:eastAsia="zh-CN" w:bidi="ar-SA"/>
        </w:rPr>
        <w:t>.2 FedProx算法约束机制</w:t>
      </w:r>
      <w:bookmarkEnd w:id="67"/>
    </w:p>
    <w:p w14:paraId="32FBF532">
      <w:pPr>
        <w:rPr>
          <w:rFonts w:hint="eastAsia"/>
        </w:rPr>
      </w:pPr>
      <w:r>
        <w:rPr>
          <w:rFonts w:hint="eastAsia"/>
        </w:rPr>
        <w:t>为了缓解Non-IID数据带来的客户端漂移问题，Li等提出了FedProx算法。该算法在FedAvg的基础上对本地训练的目标函数进行了修正，通过引入近端约束项（Proximal Term）来限制本地模型参数在更新过程中的偏移幅度。</w:t>
      </w:r>
    </w:p>
    <w:p w14:paraId="113C4B2A">
      <w:pPr>
        <w:rPr>
          <w:rFonts w:hint="eastAsia"/>
        </w:rPr>
      </w:pPr>
      <w:r>
        <w:rPr>
          <w:rFonts w:hint="eastAsia"/>
        </w:rPr>
        <w:t>在传统的FedAvg算法中，由于各客户端数据分布差异较大，本地模型在独立训练过程中容易朝着不同方向更新，导致本地模型与全局模型之间产生较大的偏差。这种偏差会随着通信轮次的增加而不断累积，最终严重影响全局模型的收敛性能。</w:t>
      </w:r>
    </w:p>
    <w:p w14:paraId="21CDFB9D">
      <w:pPr>
        <w:rPr>
          <w:rFonts w:hint="eastAsia"/>
        </w:rPr>
      </w:pPr>
      <w:r>
        <w:rPr>
          <w:rFonts w:hint="eastAsia"/>
        </w:rPr>
        <w:t>FedProx的核心思想是：在本地模型学习本地特征的同时，利用近端约束项强制其与全局模型的差距保持在可控范围内。具体而言，FedProx在本地目标函数中引入了参数偏移惩罚项，当本地模型过度偏离从服务器接收到的全局模型时，将受到额外的惩罚约束。这种机制既保留了FedAvg中本地模型自主学习的能力，又通过近端约束有效限制了参数漂移的程度。</w:t>
      </w:r>
    </w:p>
    <w:p w14:paraId="1DD45A29">
      <w:pPr>
        <w:rPr>
          <w:rFonts w:hint="eastAsia"/>
        </w:rPr>
      </w:pPr>
      <w:r>
        <w:rPr>
          <w:rFonts w:hint="eastAsia"/>
        </w:rPr>
        <w:t>通过调节近端项强度参数</w:t>
      </w:r>
      <m:oMath>
        <m:r>
          <m:rPr/>
          <w:rPr>
            <w:rFonts w:hint="default" w:ascii="Cambria Math" w:hAnsi="Cambria Math"/>
            <w:sz w:val="24"/>
          </w:rPr>
          <m:t>μ</m:t>
        </m:r>
      </m:oMath>
      <w:r>
        <w:rPr>
          <w:rFonts w:hint="eastAsia"/>
        </w:rPr>
        <w:t>的大小，系统可以在拟合本地数据和保持全局一致性之间灵活调整平衡点。当</w:t>
      </w:r>
      <m:oMath>
        <m:r>
          <m:rPr/>
          <w:rPr>
            <w:rFonts w:hint="default" w:ascii="Cambria Math" w:hAnsi="Cambria Math"/>
            <w:sz w:val="24"/>
          </w:rPr>
          <m:t>μ</m:t>
        </m:r>
      </m:oMath>
      <w:r>
        <w:rPr>
          <w:rFonts w:hint="eastAsia"/>
        </w:rPr>
        <w:t>值较小时，本地模型拥有较大的自主学习空间；当</w:t>
      </w:r>
      <m:oMath>
        <m:r>
          <m:rPr/>
          <w:rPr>
            <w:rFonts w:hint="default" w:ascii="Cambria Math" w:hAnsi="Cambria Math"/>
            <w:sz w:val="24"/>
          </w:rPr>
          <m:t>μ</m:t>
        </m:r>
      </m:oMath>
      <w:r>
        <w:rPr>
          <w:rFonts w:hint="eastAsia"/>
        </w:rPr>
        <w:t>值较大时，本地模型被强制靠近全局模型。这种自适应的正则化机制使得FedProx在面对高度异构的数据分布时，依然能够保证联邦学习的稳定性与全局收敛效率。</w:t>
      </w:r>
    </w:p>
    <w:p w14:paraId="76E3EB67">
      <w:pPr>
        <w:pStyle w:val="3"/>
        <w:spacing w:before="240" w:beforeLines="100" w:after="120" w:afterLines="50"/>
        <w:ind w:firstLine="0"/>
      </w:pPr>
      <w:bookmarkStart w:id="68" w:name="_Toc223595392_ai_ai"/>
      <w:bookmarkStart w:id="69" w:name="_Toc4019"/>
      <w:bookmarkStart w:id="70" w:name="_Toc3929_ai_ai"/>
      <w:r>
        <w:rPr>
          <w:rFonts w:hint="eastAsia" w:ascii="Times New Roman" w:hAnsi="Times New Roman" w:eastAsia="黑体" w:cs="Times New Roman"/>
          <w:bCs/>
          <w:kern w:val="2"/>
          <w:sz w:val="30"/>
          <w:szCs w:val="32"/>
          <w:lang w:val="zh-CN" w:eastAsia="zh-CN" w:bidi="ar-SA"/>
        </w:rPr>
        <w:t>2.</w:t>
      </w:r>
      <w:bookmarkEnd w:id="68"/>
      <w:r>
        <w:rPr>
          <w:rFonts w:hint="eastAsia" w:cs="Times New Roman"/>
          <w:bCs/>
          <w:kern w:val="2"/>
          <w:sz w:val="30"/>
          <w:szCs w:val="32"/>
          <w:lang w:val="en-US" w:eastAsia="zh-CN" w:bidi="ar-SA"/>
        </w:rPr>
        <w:t xml:space="preserve">3 </w:t>
      </w:r>
      <w:r>
        <w:rPr>
          <w:rFonts w:hint="eastAsia" w:ascii="Times New Roman" w:hAnsi="Times New Roman" w:eastAsia="黑体" w:cs="Times New Roman"/>
          <w:bCs/>
          <w:kern w:val="2"/>
          <w:sz w:val="30"/>
          <w:szCs w:val="32"/>
          <w:lang w:val="zh-CN" w:eastAsia="zh-CN" w:bidi="ar-SA"/>
        </w:rPr>
        <w:t>轻量化卷积神经网络</w:t>
      </w:r>
      <w:bookmarkEnd w:id="69"/>
      <w:bookmarkEnd w:id="70"/>
    </w:p>
    <w:p w14:paraId="64A5FD61">
      <w:pPr>
        <w:rPr>
          <w:rFonts w:hint="eastAsia"/>
        </w:rPr>
      </w:pPr>
      <w:r>
        <w:rPr>
          <w:rFonts w:hint="eastAsia"/>
        </w:rPr>
        <w:t>在农作物图像识别任务中，卷积神经网络</w:t>
      </w:r>
      <w:r>
        <w:rPr>
          <w:rFonts w:hint="eastAsia"/>
          <w:lang w:eastAsia="zh-CN"/>
        </w:rPr>
        <w:t>（</w:t>
      </w:r>
      <w:r>
        <w:rPr>
          <w:rFonts w:hint="eastAsia"/>
          <w:lang w:val="en-US" w:eastAsia="zh-CN"/>
        </w:rPr>
        <w:t>CNN）</w:t>
      </w:r>
      <w:r>
        <w:rPr>
          <w:rFonts w:hint="eastAsia"/>
        </w:rPr>
        <w:t>能够有效提取农作物图像中的特征，在分类识别任务中表现良好。然而传统深度卷积模型参数量庞大、推理开销高，在边缘终端资源受限环境下难以部署。轻量化卷积神经网络通过重构卷积操作与网络拓扑结构，在显著压缩参数规模的同时保持了较高的识别精度，为边缘场景下的模型部署提供了可行方案</w:t>
      </w:r>
      <w:r>
        <w:rPr>
          <w:rFonts w:hint="eastAsia"/>
          <w:lang w:eastAsia="zh-CN"/>
        </w:rPr>
        <w:t>（</w:t>
      </w:r>
      <w:r>
        <w:rPr>
          <w:rFonts w:hint="eastAsia"/>
        </w:rPr>
        <w:t>贾涵, 2021</w:t>
      </w:r>
      <w:r>
        <w:rPr>
          <w:rFonts w:hint="eastAsia"/>
          <w:lang w:eastAsia="zh-CN"/>
        </w:rPr>
        <w:t>）</w:t>
      </w:r>
      <w:r>
        <w:rPr>
          <w:rFonts w:hint="eastAsia"/>
        </w:rPr>
        <w:t>。</w:t>
      </w:r>
    </w:p>
    <w:p w14:paraId="509FF6CD">
      <w:pPr>
        <w:pStyle w:val="4"/>
        <w:bidi w:val="0"/>
        <w:rPr>
          <w:rFonts w:hint="default"/>
          <w:lang w:val="en-US"/>
        </w:rPr>
      </w:pPr>
      <w:bookmarkStart w:id="71" w:name="_Toc8385_ai"/>
      <w:bookmarkStart w:id="72" w:name="_Toc10423"/>
      <w:r>
        <w:rPr>
          <w:rFonts w:hint="eastAsia"/>
          <w:lang w:val="zh-CN" w:eastAsia="zh-CN"/>
        </w:rPr>
        <w:t>2.</w:t>
      </w:r>
      <w:r>
        <w:rPr>
          <w:rFonts w:hint="eastAsia"/>
          <w:lang w:val="en-US" w:eastAsia="zh-CN"/>
        </w:rPr>
        <w:t>3</w:t>
      </w:r>
      <w:r>
        <w:rPr>
          <w:rFonts w:hint="eastAsia"/>
          <w:lang w:val="zh-CN" w:eastAsia="zh-CN"/>
        </w:rPr>
        <w:t>.</w:t>
      </w:r>
      <w:r>
        <w:rPr>
          <w:rFonts w:hint="eastAsia"/>
          <w:lang w:val="en-US" w:eastAsia="zh-CN"/>
        </w:rPr>
        <w:t>1</w:t>
      </w:r>
      <w:r>
        <w:rPr>
          <w:rFonts w:hint="eastAsia"/>
          <w:lang w:val="zh-CN" w:eastAsia="zh-CN"/>
        </w:rPr>
        <w:t xml:space="preserve"> </w:t>
      </w:r>
      <w:bookmarkEnd w:id="71"/>
      <w:r>
        <w:rPr>
          <w:rFonts w:hint="eastAsia"/>
          <w:lang w:val="en-US" w:eastAsia="zh-CN"/>
        </w:rPr>
        <w:t>ResNet18</w:t>
      </w:r>
      <w:bookmarkEnd w:id="72"/>
    </w:p>
    <w:p w14:paraId="1477DB7F">
      <w:pPr>
        <w:rPr>
          <w:rFonts w:hint="eastAsia"/>
          <w:szCs w:val="21"/>
        </w:rPr>
      </w:pPr>
      <w:r>
        <w:rPr>
          <w:rFonts w:hint="eastAsia"/>
          <w:szCs w:val="21"/>
        </w:rPr>
        <w:t>随着深度卷积神经网络层数的不断增加，模型在训练过程中极易出现梯度消失、梯度爆炸以及网络退化等问题，导致深层网络的性能反而不如浅层网络。为了解决这一瓶颈，ResNet模型</w:t>
      </w:r>
      <w:r>
        <w:rPr>
          <w:rFonts w:hint="eastAsia"/>
          <w:szCs w:val="21"/>
          <w:lang w:eastAsia="zh-CN"/>
        </w:rPr>
        <w:t>（</w:t>
      </w:r>
      <w:r>
        <w:rPr>
          <w:rFonts w:hint="eastAsia"/>
          <w:szCs w:val="21"/>
        </w:rPr>
        <w:t>He et al., 2016</w:t>
      </w:r>
      <w:r>
        <w:rPr>
          <w:rFonts w:hint="eastAsia"/>
          <w:szCs w:val="21"/>
          <w:lang w:eastAsia="zh-CN"/>
        </w:rPr>
        <w:t>）</w:t>
      </w:r>
      <w:r>
        <w:rPr>
          <w:rFonts w:hint="eastAsia"/>
          <w:szCs w:val="21"/>
        </w:rPr>
        <w:t>引入残差学习框架：不再要求网络的隐藏层直接拟合潜在的底层映射函数</w:t>
      </w:r>
      <m:oMath>
        <m:r>
          <m:rPr/>
          <w:rPr>
            <w:rFonts w:hint="default" w:ascii="Cambria Math" w:hAnsi="Cambria Math"/>
          </w:rPr>
          <m:t>H(x)</m:t>
        </m:r>
      </m:oMath>
      <w:r>
        <w:rPr>
          <w:rFonts w:hint="eastAsia"/>
          <w:szCs w:val="21"/>
        </w:rPr>
        <w:t>，而是拟合残差</w:t>
      </w:r>
      <m:oMath>
        <m:r>
          <m:rPr/>
          <w:rPr>
            <w:rFonts w:hint="default" w:ascii="Cambria Math" w:hAnsi="Cambria Math"/>
          </w:rPr>
          <m:t>F(x)=H(x)−x</m:t>
        </m:r>
      </m:oMath>
      <w:r>
        <w:rPr>
          <w:rFonts w:hint="eastAsia"/>
          <w:szCs w:val="21"/>
        </w:rPr>
        <w:t>。</w:t>
      </w:r>
    </w:p>
    <w:p w14:paraId="0E3746F1">
      <w:pPr>
        <w:rPr>
          <w:rFonts w:hint="eastAsia"/>
          <w:szCs w:val="21"/>
        </w:rPr>
      </w:pPr>
      <w:r>
        <w:rPr>
          <w:rFonts w:hint="eastAsia"/>
          <w:szCs w:val="21"/>
        </w:rPr>
        <w:t>在具体的残差块</w:t>
      </w:r>
      <w:r>
        <w:rPr>
          <w:rFonts w:hint="eastAsia"/>
          <w:szCs w:val="21"/>
          <w:lang w:eastAsia="zh-CN"/>
        </w:rPr>
        <w:t>（</w:t>
      </w:r>
      <w:r>
        <w:rPr>
          <w:rFonts w:hint="eastAsia"/>
          <w:szCs w:val="21"/>
        </w:rPr>
        <w:t>Residual Block</w:t>
      </w:r>
      <w:r>
        <w:rPr>
          <w:rFonts w:hint="eastAsia"/>
          <w:szCs w:val="21"/>
          <w:lang w:eastAsia="zh-CN"/>
        </w:rPr>
        <w:t>）</w:t>
      </w:r>
      <w:r>
        <w:rPr>
          <w:rFonts w:hint="eastAsia"/>
          <w:szCs w:val="21"/>
        </w:rPr>
        <w:t>结构中，输入</w:t>
      </w:r>
      <m:oMath>
        <m:r>
          <m:rPr/>
          <w:rPr>
            <w:rFonts w:hint="default" w:ascii="Cambria Math" w:hAnsi="Cambria Math"/>
            <w:sz w:val="24"/>
          </w:rPr>
          <m:t>x</m:t>
        </m:r>
      </m:oMath>
      <w:r>
        <w:rPr>
          <w:rFonts w:hint="eastAsia"/>
          <w:szCs w:val="21"/>
        </w:rPr>
        <w:t>通过跨层短接</w:t>
      </w:r>
      <w:r>
        <w:rPr>
          <w:rFonts w:hint="eastAsia"/>
          <w:szCs w:val="21"/>
          <w:lang w:eastAsia="zh-CN"/>
        </w:rPr>
        <w:t>（</w:t>
      </w:r>
      <w:r>
        <w:rPr>
          <w:rFonts w:hint="eastAsia"/>
          <w:szCs w:val="21"/>
        </w:rPr>
        <w:t>Shortcut Connection</w:t>
      </w:r>
      <w:r>
        <w:rPr>
          <w:rFonts w:hint="eastAsia"/>
          <w:szCs w:val="21"/>
          <w:lang w:eastAsia="zh-CN"/>
        </w:rPr>
        <w:t>）</w:t>
      </w:r>
      <w:r>
        <w:rPr>
          <w:rFonts w:hint="eastAsia"/>
          <w:szCs w:val="21"/>
        </w:rPr>
        <w:t>直接跳过一个或多个权重层，与处理后的输出</w:t>
      </w:r>
      <m:oMath>
        <m:r>
          <m:rPr/>
          <w:rPr>
            <w:rFonts w:hint="default" w:ascii="Cambria Math" w:hAnsi="Cambria Math"/>
          </w:rPr>
          <m:t>F(x)</m:t>
        </m:r>
      </m:oMath>
      <w:r>
        <w:rPr>
          <w:rFonts w:hint="eastAsia"/>
          <w:szCs w:val="21"/>
        </w:rPr>
        <w:t>进行逐元素相加，最后再经过激活函数传递至下一层。这种恒等映射机制不仅不会增加额外的参数量和计算复杂度，还能保证梯度在反向传播时能够顺畅地流向浅层网络，从而有效缓解了深层网络难以训练的问题。</w:t>
      </w:r>
    </w:p>
    <w:p w14:paraId="0585D6C4">
      <w:pPr>
        <w:pStyle w:val="4"/>
        <w:bidi w:val="0"/>
        <w:rPr>
          <w:rFonts w:hint="default"/>
          <w:lang w:val="en-US"/>
        </w:rPr>
      </w:pPr>
      <w:bookmarkStart w:id="73" w:name="_Toc20753_ai"/>
      <w:bookmarkStart w:id="74" w:name="_Toc28498"/>
      <w:r>
        <w:rPr>
          <w:rFonts w:hint="eastAsia"/>
          <w:lang w:val="zh-CN" w:eastAsia="zh-CN"/>
        </w:rPr>
        <w:t>2.</w:t>
      </w:r>
      <w:r>
        <w:rPr>
          <w:rFonts w:hint="eastAsia"/>
          <w:lang w:val="en-US" w:eastAsia="zh-CN"/>
        </w:rPr>
        <w:t>3</w:t>
      </w:r>
      <w:r>
        <w:rPr>
          <w:rFonts w:hint="eastAsia"/>
          <w:lang w:val="zh-CN" w:eastAsia="zh-CN"/>
        </w:rPr>
        <w:t>.</w:t>
      </w:r>
      <w:r>
        <w:rPr>
          <w:rFonts w:hint="eastAsia"/>
          <w:lang w:val="en-US" w:eastAsia="zh-CN"/>
        </w:rPr>
        <w:t>2</w:t>
      </w:r>
      <w:r>
        <w:rPr>
          <w:rFonts w:hint="eastAsia"/>
          <w:lang w:val="zh-CN" w:eastAsia="zh-CN"/>
        </w:rPr>
        <w:t xml:space="preserve"> </w:t>
      </w:r>
      <w:bookmarkEnd w:id="73"/>
      <w:r>
        <w:rPr>
          <w:rFonts w:hint="eastAsia"/>
          <w:lang w:val="en-US" w:eastAsia="zh-CN"/>
        </w:rPr>
        <w:t>MobileNetV2</w:t>
      </w:r>
      <w:bookmarkEnd w:id="74"/>
    </w:p>
    <w:p w14:paraId="068B82F6">
      <w:pPr>
        <w:rPr>
          <w:rFonts w:hint="eastAsia"/>
          <w:szCs w:val="21"/>
        </w:rPr>
      </w:pPr>
      <w:r>
        <w:rPr>
          <w:rFonts w:hint="eastAsia"/>
          <w:szCs w:val="21"/>
        </w:rPr>
        <w:t>在农业边缘计算场景下，受限于终端设备的算力、内存以及联邦学习中的通信带宽制约，参数庞大的传统深度卷积网络难以直接部署应用。MobileNetV2</w:t>
      </w:r>
      <w:r>
        <w:rPr>
          <w:rFonts w:hint="eastAsia"/>
          <w:szCs w:val="21"/>
          <w:lang w:eastAsia="zh-CN"/>
        </w:rPr>
        <w:t>（</w:t>
      </w:r>
      <w:r>
        <w:rPr>
          <w:rFonts w:hint="eastAsia"/>
          <w:szCs w:val="21"/>
        </w:rPr>
        <w:t>Sandler et al., 2018</w:t>
      </w:r>
      <w:r>
        <w:rPr>
          <w:rFonts w:hint="eastAsia"/>
          <w:szCs w:val="21"/>
          <w:lang w:eastAsia="zh-CN"/>
        </w:rPr>
        <w:t>）</w:t>
      </w:r>
      <w:r>
        <w:rPr>
          <w:rFonts w:hint="eastAsia"/>
          <w:szCs w:val="21"/>
        </w:rPr>
        <w:t>作为极具代表性的轻量化卷积神经网络，专门针对移动端与资源受限环境进行了深度优化，能够在极低的计算开销下保持较高的识别精度。</w:t>
      </w:r>
    </w:p>
    <w:p w14:paraId="15FE7C1C">
      <w:pPr>
        <w:rPr>
          <w:rFonts w:hint="eastAsia"/>
          <w:szCs w:val="21"/>
        </w:rPr>
      </w:pPr>
      <w:r>
        <w:rPr>
          <w:rFonts w:hint="eastAsia"/>
          <w:szCs w:val="21"/>
        </w:rPr>
        <w:t>该网络的核心基础在于用深度可分离卷积（Depthwise Separable Convolution）替代标准卷积。深度可分离卷积将标准卷积分解为相互独立的两步：首先是深度卷积（Depthwise Convolution），为每个输入通道单独分配一个卷积核进行空间特征提取，保持通道数不变；其次是逐点卷积（Pointwise Convolution），利用1×1卷积核对深度卷积的输出进行通道方向上的线性组合，实现跨通道的信息融合。与标准卷积同时处理空间和通道相比，这种解耦方式使得模型的乘加运算量和参数量大幅减少。</w:t>
      </w:r>
    </w:p>
    <w:p w14:paraId="391C653C">
      <w:pPr>
        <w:rPr>
          <w:rFonts w:hint="eastAsia"/>
          <w:szCs w:val="21"/>
        </w:rPr>
      </w:pPr>
      <w:r>
        <w:rPr>
          <w:rFonts w:hint="eastAsia"/>
          <w:szCs w:val="21"/>
        </w:rPr>
        <w:t>​在此基础上，MobileNetV2提出了两大关键创新以弥补轻量化带来的性能损失：一是倒残差结构（Inverted Residuals）。与传统残差结构相反，倒残差结构采用“升维-卷积-降维”的策略，先通过1×1卷积在高维空间提取丰富特征，再降维输出；二是线性瓶颈（Linear Bottlenecks）。网络在降维后的瓶颈层去除了非线性激活函数（如ReLU），采用线性激活以避免低维空间下的特征信息丢失</w:t>
      </w:r>
      <w:r>
        <w:rPr>
          <w:rFonts w:hint="eastAsia"/>
          <w:szCs w:val="21"/>
          <w:lang w:eastAsia="zh-CN"/>
        </w:rPr>
        <w:t>（</w:t>
      </w:r>
      <w:r>
        <w:rPr>
          <w:rFonts w:hint="eastAsia"/>
          <w:szCs w:val="21"/>
        </w:rPr>
        <w:t>叶名炀和张杰强, 2022</w:t>
      </w:r>
      <w:r>
        <w:rPr>
          <w:rFonts w:hint="eastAsia"/>
          <w:szCs w:val="21"/>
          <w:lang w:eastAsia="zh-CN"/>
        </w:rPr>
        <w:t>）</w:t>
      </w:r>
      <w:r>
        <w:rPr>
          <w:rFonts w:hint="eastAsia"/>
          <w:szCs w:val="21"/>
        </w:rPr>
        <w:t>。</w:t>
      </w:r>
    </w:p>
    <w:p w14:paraId="75B60AF0">
      <w:pPr>
        <w:pStyle w:val="3"/>
        <w:spacing w:before="240" w:beforeLines="100" w:after="120" w:afterLines="50"/>
        <w:ind w:firstLine="0"/>
      </w:pPr>
      <w:bookmarkStart w:id="75" w:name="_Toc27457_ai_ai"/>
      <w:bookmarkStart w:id="76" w:name="_Toc2358"/>
      <w:r>
        <w:rPr>
          <w:rFonts w:hint="eastAsia" w:ascii="Times New Roman" w:hAnsi="Times New Roman" w:eastAsia="黑体" w:cs="Times New Roman"/>
          <w:bCs/>
          <w:kern w:val="2"/>
          <w:sz w:val="30"/>
          <w:szCs w:val="32"/>
          <w:lang w:val="zh-CN" w:eastAsia="zh-CN" w:bidi="ar-SA"/>
        </w:rPr>
        <w:t>2.</w:t>
      </w:r>
      <w:r>
        <w:rPr>
          <w:rFonts w:hint="eastAsia" w:cs="Times New Roman"/>
          <w:bCs/>
          <w:kern w:val="2"/>
          <w:sz w:val="30"/>
          <w:szCs w:val="32"/>
          <w:lang w:val="en-US" w:eastAsia="zh-CN" w:bidi="ar-SA"/>
        </w:rPr>
        <w:t>4</w:t>
      </w:r>
      <w:r>
        <w:rPr>
          <w:rFonts w:hint="eastAsia" w:ascii="Times New Roman" w:hAnsi="Times New Roman" w:eastAsia="黑体" w:cs="Times New Roman"/>
          <w:bCs/>
          <w:kern w:val="2"/>
          <w:sz w:val="30"/>
          <w:szCs w:val="32"/>
          <w:lang w:val="zh-CN" w:eastAsia="zh-CN" w:bidi="ar-SA"/>
        </w:rPr>
        <w:t xml:space="preserve"> 本章小结</w:t>
      </w:r>
      <w:bookmarkEnd w:id="75"/>
      <w:bookmarkEnd w:id="76"/>
    </w:p>
    <w:p w14:paraId="1EF6FD34">
      <w:pPr>
        <w:rPr>
          <w:rFonts w:hint="eastAsia"/>
        </w:rPr>
      </w:pPr>
      <w:r>
        <w:rPr>
          <w:rFonts w:hint="eastAsia"/>
        </w:rPr>
        <w:t>本章详细介绍了支撑本课题研究的核心理论与技术框架。首先概述了联邦学习的基本架构与基础聚合算法FedAvg，为分布式协同训练提供了整体认知；随后针对实际分布式环境下的Non-IID数据挑战，详细推导了FedProx算法的近端约束优化机制；接着分析了以MobileNetV2和ResNet18为代表的轻量化卷积神经网络的结构优势，为客户端视觉模型的选择提供了依据。上述理论与技术基础，共同为下一章协同训练系统的方法设计与具体实现奠定了坚实的前提。</w:t>
      </w:r>
    </w:p>
    <w:p w14:paraId="22D17446">
      <w:pPr>
        <w:widowControl/>
        <w:spacing w:line="240" w:lineRule="auto"/>
        <w:ind w:firstLine="0" w:firstLineChars="0"/>
        <w:jc w:val="left"/>
        <w:rPr>
          <w:rFonts w:eastAsia="黑体"/>
          <w:sz w:val="18"/>
          <w:szCs w:val="18"/>
        </w:rPr>
        <w:sectPr>
          <w:footerReference r:id="rId29" w:type="even"/>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bookmarkEnd w:id="58"/>
    <w:p w14:paraId="1BB2EE5C">
      <w:pPr>
        <w:pStyle w:val="2"/>
        <w:spacing w:before="480" w:beforeLines="200" w:after="240" w:afterLines="100"/>
        <w:ind w:firstLine="0"/>
      </w:pPr>
      <w:bookmarkStart w:id="77" w:name="_Toc2115_ai"/>
      <w:bookmarkStart w:id="78" w:name="_Toc19035"/>
      <w:bookmarkStart w:id="79" w:name="_Toc223595395"/>
      <w:r>
        <w:rPr>
          <w:rFonts w:ascii="Times New Roman" w:hAnsi="Times New Roman" w:eastAsia="黑体" w:cs="Times New Roman"/>
          <w:kern w:val="2"/>
          <w:sz w:val="32"/>
          <w:szCs w:val="24"/>
          <w:lang w:val="zh-CN" w:eastAsia="zh-CN" w:bidi="ar-SA"/>
        </w:rPr>
        <w:t>第3章 系统设计与方法研究</w:t>
      </w:r>
      <w:bookmarkEnd w:id="77"/>
      <w:bookmarkEnd w:id="78"/>
    </w:p>
    <w:bookmarkEnd w:id="79"/>
    <w:p w14:paraId="555B6DA6">
      <w:pPr>
        <w:pStyle w:val="3"/>
        <w:spacing w:before="240" w:beforeLines="100" w:after="120" w:afterLines="50"/>
        <w:ind w:firstLine="0"/>
        <w:rPr>
          <w:rFonts w:ascii="Times New Roman" w:hAnsi="Times New Roman" w:eastAsia="黑体" w:cs="Times New Roman"/>
          <w:bCs/>
          <w:kern w:val="2"/>
          <w:sz w:val="30"/>
          <w:szCs w:val="32"/>
          <w:lang w:val="zh-CN" w:eastAsia="zh-CN" w:bidi="ar-SA"/>
        </w:rPr>
      </w:pPr>
      <w:bookmarkStart w:id="80" w:name="_Toc4781"/>
      <w:r>
        <w:rPr>
          <w:rFonts w:hint="eastAsia" w:ascii="Times New Roman" w:hAnsi="Times New Roman" w:eastAsia="黑体" w:cs="Times New Roman"/>
          <w:bCs/>
          <w:kern w:val="2"/>
          <w:sz w:val="30"/>
          <w:szCs w:val="32"/>
          <w:lang w:val="zh-CN" w:eastAsia="zh-CN" w:bidi="ar-SA"/>
        </w:rPr>
        <w:t>3.1</w:t>
      </w:r>
      <w:bookmarkStart w:id="81" w:name="_Toc223595395_ai_ai"/>
      <w:bookmarkEnd w:id="81"/>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系统总体架构设计</w:t>
      </w:r>
      <w:bookmarkEnd w:id="80"/>
      <w:bookmarkStart w:id="82" w:name="_Toc3613_ai_ai"/>
      <w:bookmarkEnd w:id="82"/>
    </w:p>
    <w:p w14:paraId="597543BF">
      <w:pPr>
        <w:rPr>
          <w:rFonts w:hint="eastAsia"/>
        </w:rPr>
      </w:pPr>
      <w:r>
        <w:rPr>
          <w:rFonts w:hint="eastAsia"/>
        </w:rPr>
        <w:t>本文所构建的农作物图像识别协同训练系统采用联邦学习架构，由服务器（中心协调端）和</w:t>
      </w:r>
      <w:r>
        <w:rPr>
          <w:rFonts w:hint="eastAsia"/>
          <w:lang w:val="en-US" w:eastAsia="zh-CN"/>
        </w:rPr>
        <w:t>多个</w:t>
      </w:r>
      <w:r>
        <w:rPr>
          <w:rFonts w:hint="eastAsia"/>
        </w:rPr>
        <w:t>客户端（本地训练节点）组成，各方图像数据不出本地，通过多轮通信迭代完成全局模型训练。每轮包含四个阶段：服务器把当前全局模型发给选中的客户端；客户端拿本地图像数据训练若干步</w:t>
      </w:r>
      <w:r>
        <w:rPr>
          <w:rFonts w:hint="eastAsia"/>
          <w:lang w:eastAsia="zh-CN"/>
        </w:rPr>
        <w:t>（</w:t>
      </w:r>
      <w:r>
        <w:rPr>
          <w:rFonts w:hint="eastAsia"/>
          <w:lang w:val="en-US" w:eastAsia="zh-CN"/>
        </w:rPr>
        <w:t>本地轮次）</w:t>
      </w:r>
      <w:r>
        <w:rPr>
          <w:rFonts w:hint="eastAsia"/>
        </w:rPr>
        <w:t>；客户端把更新后的参数上传回服务器；服务器对所有参数做加权聚合，生成新的全局模型。然后进入下一轮，循环</w:t>
      </w:r>
      <w:r>
        <w:rPr>
          <w:rFonts w:hint="eastAsia"/>
          <w:lang w:eastAsia="zh-CN"/>
        </w:rPr>
        <w:t>（</w:t>
      </w:r>
      <w:r>
        <w:rPr>
          <w:rFonts w:hint="eastAsia"/>
          <w:lang w:val="en-US" w:eastAsia="zh-CN"/>
        </w:rPr>
        <w:t>全局轮次）直至</w:t>
      </w:r>
      <w:r>
        <w:rPr>
          <w:rFonts w:hint="eastAsia"/>
        </w:rPr>
        <w:t>模型收敛。</w:t>
      </w:r>
    </w:p>
    <w:p w14:paraId="19E88447">
      <w:pPr>
        <w:rPr>
          <w:rFonts w:hint="eastAsia"/>
        </w:rPr>
      </w:pPr>
      <w:r>
        <w:rPr>
          <w:rFonts w:hint="eastAsia"/>
        </w:rPr>
        <w:t>在联邦服务端，服务器负责维护全局模型的状态更新，在每轮迭代开始时将当前全局模型参数广播至参与本轮训练的客户端，并在收到各客户端上传的本地更新参数后，依据预设的加权聚合</w:t>
      </w:r>
      <w:r>
        <w:rPr>
          <w:rFonts w:hint="eastAsia"/>
          <w:lang w:val="en-US" w:eastAsia="zh-CN"/>
        </w:rPr>
        <w:t>算法</w:t>
      </w:r>
      <w:r>
        <w:rPr>
          <w:rFonts w:hint="eastAsia"/>
        </w:rPr>
        <w:t>对其进行参数融合，生成新一轮的全局模型。在客户端，每个参与节点以接收到的全局模型参数为初始化权重，结合本地存储的农作物图像数据完成本地梯度更新，随后将训练结果返回服务器。在整个训练过程中，原始图像数据始终保留在各客户端本地，服务器仅处理模型参数，实现</w:t>
      </w:r>
      <w:r>
        <w:rPr>
          <w:rFonts w:hint="eastAsia"/>
          <w:lang w:val="en-US" w:eastAsia="zh-CN"/>
        </w:rPr>
        <w:t>了</w:t>
      </w:r>
      <w:r>
        <w:rPr>
          <w:rFonts w:hint="eastAsia"/>
        </w:rPr>
        <w:t>数据隐私保护与协同建模的统一。</w:t>
      </w:r>
    </w:p>
    <w:p w14:paraId="3E815FA5">
      <w:pPr>
        <w:rPr>
          <w:rFonts w:hint="eastAsia"/>
        </w:rPr>
      </w:pPr>
      <w:r>
        <w:rPr>
          <w:rFonts w:hint="eastAsia"/>
        </w:rPr>
        <w:t>联邦训练任务由统一的调度模块负责客户端选取与训练进度管理，聚合操作依据各客户端的本地样本量进行加权平均计算，确保不同规模客户端的贡献得到合理体现。</w:t>
      </w:r>
    </w:p>
    <w:p w14:paraId="182D00B1">
      <w:pPr>
        <w:pStyle w:val="3"/>
        <w:spacing w:before="240" w:beforeLines="100" w:after="120" w:afterLines="50"/>
        <w:ind w:firstLine="0"/>
      </w:pPr>
      <w:bookmarkStart w:id="83" w:name="_Toc223595396_ai_ai"/>
      <w:bookmarkStart w:id="84" w:name="_Toc20211_ai"/>
      <w:bookmarkStart w:id="85" w:name="_Toc30810_ai_ai"/>
      <w:bookmarkStart w:id="86" w:name="_Toc11753"/>
      <w:r>
        <w:rPr>
          <w:rFonts w:hint="eastAsia" w:ascii="Times New Roman" w:hAnsi="Times New Roman" w:eastAsia="黑体" w:cs="Times New Roman"/>
          <w:bCs/>
          <w:kern w:val="2"/>
          <w:sz w:val="30"/>
          <w:szCs w:val="32"/>
          <w:lang w:val="zh-CN" w:eastAsia="zh-CN" w:bidi="ar-SA"/>
        </w:rPr>
        <w:t>3.2</w:t>
      </w:r>
      <w:bookmarkEnd w:id="83"/>
      <w:r>
        <w:rPr>
          <w:rFonts w:hint="eastAsia" w:cs="Times New Roman"/>
          <w:bCs/>
          <w:kern w:val="2"/>
          <w:sz w:val="30"/>
          <w:szCs w:val="32"/>
          <w:lang w:val="en-US" w:eastAsia="zh-CN" w:bidi="ar-SA"/>
        </w:rPr>
        <w:t xml:space="preserve"> </w:t>
      </w:r>
      <w:bookmarkEnd w:id="84"/>
      <w:bookmarkEnd w:id="85"/>
      <w:r>
        <w:rPr>
          <w:rFonts w:hint="eastAsia" w:cs="Times New Roman"/>
          <w:bCs/>
          <w:kern w:val="2"/>
          <w:sz w:val="30"/>
          <w:szCs w:val="32"/>
          <w:lang w:val="en-US" w:eastAsia="zh-CN" w:bidi="ar-SA"/>
        </w:rPr>
        <w:t>联邦学习</w:t>
      </w:r>
      <w:r>
        <w:rPr>
          <w:rFonts w:hint="eastAsia" w:ascii="Times New Roman" w:hAnsi="Times New Roman" w:eastAsia="黑体" w:cs="Times New Roman"/>
          <w:bCs/>
          <w:kern w:val="2"/>
          <w:sz w:val="30"/>
          <w:szCs w:val="32"/>
          <w:lang w:val="zh-CN" w:eastAsia="zh-CN" w:bidi="ar-SA"/>
        </w:rPr>
        <w:t>算法</w:t>
      </w:r>
      <w:r>
        <w:rPr>
          <w:rFonts w:hint="eastAsia" w:cs="Times New Roman"/>
          <w:bCs/>
          <w:kern w:val="2"/>
          <w:sz w:val="30"/>
          <w:szCs w:val="32"/>
          <w:lang w:val="en-US" w:eastAsia="zh-CN" w:bidi="ar-SA"/>
        </w:rPr>
        <w:t>的</w:t>
      </w:r>
      <w:r>
        <w:rPr>
          <w:rFonts w:hint="eastAsia" w:ascii="Times New Roman" w:hAnsi="Times New Roman" w:eastAsia="黑体" w:cs="Times New Roman"/>
          <w:bCs/>
          <w:kern w:val="2"/>
          <w:sz w:val="30"/>
          <w:szCs w:val="32"/>
          <w:lang w:val="zh-CN" w:eastAsia="zh-CN" w:bidi="ar-SA"/>
        </w:rPr>
        <w:t>分析与优化</w:t>
      </w:r>
      <w:bookmarkEnd w:id="86"/>
    </w:p>
    <w:p w14:paraId="56BF3532">
      <w:pPr>
        <w:pStyle w:val="4"/>
        <w:tabs>
          <w:tab w:val="clear" w:pos="561"/>
          <w:tab w:val="clear" w:pos="720"/>
        </w:tabs>
        <w:overflowPunct/>
        <w:spacing w:before="120" w:beforeLines="50"/>
        <w:ind w:firstLine="0"/>
        <w:jc w:val="both"/>
      </w:pPr>
      <w:bookmarkStart w:id="87" w:name="_Toc31053"/>
      <w:r>
        <w:rPr>
          <w:rFonts w:hint="eastAsia" w:ascii="Times New Roman" w:hAnsi="Times New Roman" w:eastAsia="黑体" w:cs="Times New Roman"/>
          <w:kern w:val="2"/>
          <w:sz w:val="28"/>
          <w:szCs w:val="20"/>
          <w:lang w:val="zh-CN" w:eastAsia="zh-CN" w:bidi="ar-SA"/>
        </w:rPr>
        <w:t xml:space="preserve">3.2.1 </w:t>
      </w:r>
      <w:r>
        <w:rPr>
          <w:rFonts w:hint="eastAsia" w:cs="Times New Roman"/>
          <w:kern w:val="2"/>
          <w:sz w:val="28"/>
          <w:szCs w:val="20"/>
          <w:lang w:val="en-US" w:eastAsia="zh-CN" w:bidi="ar-SA"/>
        </w:rPr>
        <w:t>固</w:t>
      </w:r>
      <w:r>
        <w:rPr>
          <w:rFonts w:hint="eastAsia" w:ascii="Times New Roman" w:hAnsi="Times New Roman" w:eastAsia="黑体" w:cs="Times New Roman"/>
          <w:kern w:val="2"/>
          <w:sz w:val="28"/>
          <w:szCs w:val="20"/>
          <w:lang w:val="zh-CN" w:eastAsia="zh-CN" w:bidi="ar-SA"/>
        </w:rPr>
        <w:t>定近端约束的局限性分析</w:t>
      </w:r>
      <w:bookmarkEnd w:id="87"/>
    </w:p>
    <w:p w14:paraId="781C5719">
      <w:pPr>
        <w:rPr>
          <w:rFonts w:hint="eastAsia"/>
        </w:rPr>
      </w:pPr>
      <w:r>
        <w:rPr>
          <w:rFonts w:hint="eastAsia"/>
        </w:rPr>
        <w:t>如第2章所述，Non-IID数据导致各客户端本地优化方向偏离全局最优，产生客户端漂移（Client Drift）问题。FedProx通过在本地目标函数中引入近端约束项来限制参数偏移幅度，本地训练目标函数定义为：</w:t>
      </w:r>
    </w:p>
    <w:p w14:paraId="2810B13F">
      <w:pPr>
        <w:pStyle w:val="44"/>
        <w:keepNext w:val="0"/>
        <w:keepLines w:val="0"/>
        <w:pageBreakBefore w:val="0"/>
        <w:widowControl w:val="0"/>
        <w:kinsoku/>
        <w:wordWrap/>
        <w:overflowPunct/>
        <w:topLinePunct w:val="0"/>
        <w:autoSpaceDE w:val="0"/>
        <w:autoSpaceDN w:val="0"/>
        <w:bidi w:val="0"/>
        <w:adjustRightInd w:val="0"/>
        <w:snapToGrid/>
        <w:spacing w:before="120" w:beforeLines="50" w:after="120" w:afterLines="50"/>
        <w:ind w:left="-360" w:leftChars="-150"/>
        <w:textAlignment w:val="auto"/>
        <w:rPr>
          <w:rFonts w:hint="default" w:hAnsi="Times New Roman"/>
          <w:b w:val="0"/>
          <w:i w:val="0"/>
          <w:iCs/>
          <w:lang w:val="en-US" w:eastAsia="zh-CN"/>
        </w:rPr>
      </w:pPr>
      <m:oMathPara>
        <m:oMath>
          <m:eqArr>
            <m:eqArrPr>
              <m:maxDist m:val="1"/>
              <m:ctrlPr>
                <w:rPr>
                  <w:rFonts w:hint="default" w:hAnsi="Times New Roman"/>
                  <w:b w:val="0"/>
                  <w:i w:val="0"/>
                  <w:iCs/>
                  <w:lang w:val="en-US" w:eastAsia="zh-CN"/>
                </w:rPr>
              </m:ctrlPr>
            </m:eqArrPr>
            <m:e>
              <m:sSub>
                <m:sSubPr>
                  <m:ctrlPr>
                    <w:rPr>
                      <w:rStyle w:val="47"/>
                      <w:rFonts w:ascii="Cambria Math" w:hAnsi="Cambria Math"/>
                      <w:i/>
                      <w:iCs/>
                    </w:rPr>
                  </m:ctrlPr>
                </m:sSubPr>
                <m:e>
                  <m:r>
                    <m:rPr/>
                    <w:rPr>
                      <w:rStyle w:val="47"/>
                      <w:rFonts w:hint="default" w:ascii="Cambria Math" w:hAnsi="Cambria Math"/>
                    </w:rPr>
                    <m:t>h</m:t>
                  </m:r>
                  <m:ctrlPr>
                    <w:rPr>
                      <w:rStyle w:val="47"/>
                      <w:rFonts w:ascii="Cambria Math" w:hAnsi="Cambria Math"/>
                      <w:i/>
                      <w:iCs/>
                    </w:rPr>
                  </m:ctrlPr>
                </m:e>
                <m:sub>
                  <m:r>
                    <m:rPr/>
                    <w:rPr>
                      <w:rStyle w:val="47"/>
                      <w:rFonts w:hint="default" w:ascii="Cambria Math" w:hAnsi="Cambria Math"/>
                    </w:rPr>
                    <m:t>k</m:t>
                  </m:r>
                  <m:ctrlPr>
                    <w:rPr>
                      <w:rStyle w:val="47"/>
                      <w:rFonts w:ascii="Cambria Math" w:hAnsi="Cambria Math"/>
                      <w:i/>
                      <w:iCs/>
                    </w:rPr>
                  </m:ctrlPr>
                </m:sub>
              </m:sSub>
              <m:r>
                <m:rPr/>
                <w:rPr>
                  <w:rStyle w:val="47"/>
                  <w:rFonts w:hint="default" w:ascii="Cambria Math" w:hAnsi="Cambria Math"/>
                </w:rPr>
                <m:t>(w)=</m:t>
              </m:r>
              <m:sSub>
                <m:sSubPr>
                  <m:ctrlPr>
                    <w:rPr>
                      <w:rStyle w:val="47"/>
                      <w:rFonts w:ascii="Cambria Math" w:hAnsi="Cambria Math"/>
                      <w:i/>
                      <w:iCs/>
                    </w:rPr>
                  </m:ctrlPr>
                </m:sSubPr>
                <m:e>
                  <m:r>
                    <m:rPr/>
                    <w:rPr>
                      <w:rStyle w:val="47"/>
                      <w:rFonts w:hint="default" w:ascii="Cambria Math" w:hAnsi="Cambria Math"/>
                    </w:rPr>
                    <m:t>F</m:t>
                  </m:r>
                  <m:ctrlPr>
                    <w:rPr>
                      <w:rStyle w:val="47"/>
                      <w:rFonts w:ascii="Cambria Math" w:hAnsi="Cambria Math"/>
                      <w:i/>
                      <w:iCs/>
                    </w:rPr>
                  </m:ctrlPr>
                </m:e>
                <m:sub>
                  <m:r>
                    <m:rPr/>
                    <w:rPr>
                      <w:rStyle w:val="47"/>
                      <w:rFonts w:hint="default" w:ascii="Cambria Math" w:hAnsi="Cambria Math"/>
                    </w:rPr>
                    <m:t>k</m:t>
                  </m:r>
                  <m:ctrlPr>
                    <w:rPr>
                      <w:rStyle w:val="47"/>
                      <w:rFonts w:ascii="Cambria Math" w:hAnsi="Cambria Math"/>
                      <w:i/>
                      <w:iCs/>
                    </w:rPr>
                  </m:ctrlPr>
                </m:sub>
              </m:sSub>
              <m:r>
                <m:rPr/>
                <w:rPr>
                  <w:rStyle w:val="47"/>
                  <w:rFonts w:hint="default" w:ascii="Cambria Math" w:hAnsi="Cambria Math"/>
                </w:rPr>
                <m:t>(w)+</m:t>
              </m:r>
              <m:f>
                <m:fPr>
                  <m:ctrlPr>
                    <w:rPr>
                      <w:rStyle w:val="47"/>
                      <w:rFonts w:ascii="Cambria Math" w:hAnsi="Cambria Math"/>
                      <w:i/>
                      <w:iCs/>
                    </w:rPr>
                  </m:ctrlPr>
                </m:fPr>
                <m:num>
                  <m:r>
                    <m:rPr/>
                    <w:rPr>
                      <w:rStyle w:val="47"/>
                      <w:rFonts w:hint="default" w:ascii="Cambria Math" w:hAnsi="Cambria Math"/>
                    </w:rPr>
                    <m:t>μ</m:t>
                  </m:r>
                  <m:ctrlPr>
                    <w:rPr>
                      <w:rStyle w:val="47"/>
                      <w:rFonts w:ascii="Cambria Math" w:hAnsi="Cambria Math"/>
                      <w:i/>
                      <w:iCs/>
                    </w:rPr>
                  </m:ctrlPr>
                </m:num>
                <m:den>
                  <m:r>
                    <m:rPr/>
                    <w:rPr>
                      <w:rStyle w:val="47"/>
                      <w:rFonts w:ascii="Cambria Math" w:hAnsi="Cambria Math"/>
                      <w:lang w:val="en-US" w:eastAsia="zh-CN"/>
                    </w:rPr>
                    <m:t>2</m:t>
                  </m:r>
                  <m:ctrlPr>
                    <w:rPr>
                      <w:rStyle w:val="47"/>
                      <w:rFonts w:ascii="Cambria Math" w:hAnsi="Cambria Math"/>
                      <w:i/>
                      <w:iCs/>
                    </w:rPr>
                  </m:ctrlPr>
                </m:den>
              </m:f>
              <m:r>
                <m:rPr/>
                <w:rPr>
                  <w:rStyle w:val="47"/>
                  <w:rFonts w:hint="default" w:ascii="Cambria Math" w:hAnsi="Cambria Math"/>
                </w:rPr>
                <m:t>·‖w−</m:t>
              </m:r>
              <m:sSub>
                <m:sSubPr>
                  <m:ctrlPr>
                    <w:rPr>
                      <w:rStyle w:val="47"/>
                      <w:rFonts w:ascii="Cambria Math" w:hAnsi="Cambria Math"/>
                      <w:i/>
                      <w:iCs/>
                    </w:rPr>
                  </m:ctrlPr>
                </m:sSubPr>
                <m:e>
                  <m:r>
                    <m:rPr/>
                    <w:rPr>
                      <w:rStyle w:val="47"/>
                      <w:rFonts w:hint="default" w:ascii="Cambria Math" w:hAnsi="Cambria Math"/>
                    </w:rPr>
                    <m:t>w</m:t>
                  </m:r>
                  <m:ctrlPr>
                    <w:rPr>
                      <w:rStyle w:val="47"/>
                      <w:rFonts w:ascii="Cambria Math" w:hAnsi="Cambria Math"/>
                      <w:i/>
                      <w:iCs/>
                    </w:rPr>
                  </m:ctrlPr>
                </m:e>
                <m:sub>
                  <m:r>
                    <m:rPr/>
                    <w:rPr>
                      <w:rStyle w:val="47"/>
                      <w:rFonts w:hint="default" w:ascii="Cambria Math" w:hAnsi="Cambria Math"/>
                    </w:rPr>
                    <m:t>t</m:t>
                  </m:r>
                  <m:ctrlPr>
                    <w:rPr>
                      <w:rStyle w:val="47"/>
                      <w:rFonts w:ascii="Cambria Math" w:hAnsi="Cambria Math"/>
                      <w:i/>
                      <w:iCs/>
                    </w:rPr>
                  </m:ctrlPr>
                </m:sub>
              </m:sSub>
              <m:r>
                <m:rPr/>
                <w:rPr>
                  <w:rStyle w:val="47"/>
                  <w:rFonts w:ascii="Cambria Math" w:hAnsi="Cambria Math"/>
                </w:rPr>
                <m:t>‖</m:t>
              </m:r>
              <m:r>
                <m:rPr/>
                <w:rPr>
                  <w:rFonts w:ascii="Times New Roman" w:hAnsi="Times New Roman"/>
                </w:rPr>
                <m:t>²</m:t>
              </m:r>
              <m:r>
                <m:rPr>
                  <m:sty m:val="p"/>
                </m:rPr>
                <w:rPr>
                  <w:rFonts w:hint="eastAsia" w:hAnsi="Times New Roman"/>
                  <w:lang w:val="en-US" w:eastAsia="zh-CN"/>
                </w:rPr>
                <m:t>#公式（</m:t>
              </m:r>
              <m:r>
                <m:rPr>
                  <m:nor/>
                  <m:sty m:val="p"/>
                </m:rPr>
                <w:rPr>
                  <w:rFonts w:hint="default" w:ascii="Times New Roman" w:hAnsi="Times New Roman" w:cs="Times New Roman"/>
                  <w:b w:val="0"/>
                  <w:i w:val="0"/>
                  <w:lang w:val="en-US" w:eastAsia="zh-CN"/>
                </w:rPr>
                <m:t>3-1</m:t>
              </m:r>
              <m:r>
                <m:rPr>
                  <m:sty m:val="p"/>
                </m:rPr>
                <w:rPr>
                  <w:rFonts w:hint="eastAsia" w:hAnsi="Times New Roman"/>
                  <w:lang w:val="en-US" w:eastAsia="zh-CN"/>
                </w:rPr>
                <m:t>）</m:t>
              </m:r>
              <m:ctrlPr>
                <w:rPr>
                  <w:rFonts w:hint="default" w:hAnsi="Times New Roman"/>
                  <w:b w:val="0"/>
                  <w:i w:val="0"/>
                  <w:iCs/>
                  <w:lang w:val="en-US" w:eastAsia="zh-CN"/>
                </w:rPr>
              </m:ctrlPr>
            </m:e>
          </m:eqArr>
        </m:oMath>
      </m:oMathPara>
    </w:p>
    <w:p w14:paraId="36672E46">
      <w:pPr>
        <w:rPr>
          <w:rFonts w:hint="eastAsia"/>
        </w:rPr>
      </w:pPr>
      <w:r>
        <w:rPr>
          <w:rFonts w:hint="eastAsia"/>
          <w:lang w:val="en-US" w:eastAsia="zh-CN"/>
        </w:rPr>
        <w:t>式中</w:t>
      </w:r>
      <m:oMath>
        <m:sSub>
          <m:sSubPr>
            <m:ctrlPr>
              <w:rPr>
                <w:rFonts w:ascii="Cambria Math" w:hAnsi="Cambria Math"/>
                <w:i/>
                <w:iCs/>
                <w:sz w:val="24"/>
              </w:rPr>
            </m:ctrlPr>
          </m:sSubPr>
          <m:e>
            <m:r>
              <m:rPr/>
              <w:rPr>
                <w:rFonts w:hint="default" w:ascii="Cambria Math" w:hAnsi="Cambria Math"/>
                <w:sz w:val="24"/>
              </w:rPr>
              <m:t>F</m:t>
            </m:r>
            <m:ctrlPr>
              <w:rPr>
                <w:rFonts w:ascii="Cambria Math" w:hAnsi="Cambria Math"/>
                <w:i/>
                <w:iCs/>
                <w:sz w:val="24"/>
              </w:rPr>
            </m:ctrlPr>
          </m:e>
          <m:sub>
            <m:r>
              <m:rPr/>
              <w:rPr>
                <w:rFonts w:hint="default" w:ascii="Cambria Math" w:hAnsi="Cambria Math"/>
                <w:sz w:val="24"/>
              </w:rPr>
              <m:t>k</m:t>
            </m:r>
            <m:ctrlPr>
              <w:rPr>
                <w:rFonts w:ascii="Cambria Math" w:hAnsi="Cambria Math"/>
                <w:i/>
                <w:iCs/>
                <w:sz w:val="24"/>
              </w:rPr>
            </m:ctrlPr>
          </m:sub>
        </m:sSub>
        <m:r>
          <m:rPr/>
          <w:rPr>
            <w:rFonts w:hint="default" w:ascii="Cambria Math" w:hAnsi="Cambria Math"/>
            <w:sz w:val="24"/>
          </w:rPr>
          <m:t>(w)</m:t>
        </m:r>
      </m:oMath>
      <w:r>
        <w:rPr>
          <w:rFonts w:hint="eastAsia"/>
        </w:rPr>
        <w:t>为客户端</w:t>
      </w:r>
      <m:oMath>
        <m:r>
          <m:rPr/>
          <w:rPr>
            <w:rFonts w:hint="default" w:ascii="Cambria Math" w:hAnsi="Cambria Math"/>
          </w:rPr>
          <m:t>k</m:t>
        </m:r>
      </m:oMath>
      <w:r>
        <w:rPr>
          <w:rFonts w:hint="eastAsia"/>
        </w:rPr>
        <w:t>的本地经验损失，</w:t>
      </w:r>
      <m:oMath>
        <m:sSub>
          <m:sSubPr>
            <m:ctrlPr>
              <w:rPr>
                <w:rFonts w:ascii="Cambria Math" w:hAnsi="Cambria Math"/>
                <w:i/>
                <w:iCs/>
                <w:sz w:val="24"/>
              </w:rPr>
            </m:ctrlPr>
          </m:sSubPr>
          <m:e>
            <m:r>
              <m:rPr/>
              <w:rPr>
                <w:rFonts w:hint="default" w:ascii="Cambria Math" w:hAnsi="Cambria Math"/>
                <w:sz w:val="24"/>
              </w:rPr>
              <m:t>w</m:t>
            </m:r>
            <m:ctrlPr>
              <w:rPr>
                <w:rFonts w:ascii="Cambria Math" w:hAnsi="Cambria Math"/>
                <w:i/>
                <w:iCs/>
                <w:sz w:val="24"/>
              </w:rPr>
            </m:ctrlPr>
          </m:e>
          <m:sub>
            <m:r>
              <m:rPr/>
              <w:rPr>
                <w:rFonts w:hint="default" w:ascii="Cambria Math" w:hAnsi="Cambria Math"/>
                <w:sz w:val="24"/>
              </w:rPr>
              <m:t>t</m:t>
            </m:r>
            <m:ctrlPr>
              <w:rPr>
                <w:rFonts w:ascii="Cambria Math" w:hAnsi="Cambria Math"/>
                <w:i/>
                <w:iCs/>
                <w:sz w:val="24"/>
              </w:rPr>
            </m:ctrlPr>
          </m:sub>
        </m:sSub>
      </m:oMath>
      <w:r>
        <w:rPr>
          <w:rFonts w:hint="eastAsia"/>
        </w:rPr>
        <w:t>为第</w:t>
      </w:r>
      <m:oMath>
        <m:r>
          <m:rPr/>
          <w:rPr>
            <w:rFonts w:hint="default" w:ascii="Cambria Math" w:hAnsi="Cambria Math"/>
          </w:rPr>
          <m:t>t</m:t>
        </m:r>
      </m:oMath>
      <w:r>
        <w:rPr>
          <w:rFonts w:hint="eastAsia"/>
        </w:rPr>
        <w:t>轮从服务器接收的全局参数，</w:t>
      </w:r>
      <m:oMath>
        <m:r>
          <m:rPr/>
          <w:rPr>
            <w:rFonts w:hint="default" w:ascii="Cambria Math" w:hAnsi="Cambria Math"/>
            <w:sz w:val="24"/>
          </w:rPr>
          <m:t>μ</m:t>
        </m:r>
      </m:oMath>
      <w:r>
        <w:rPr>
          <w:rFonts w:hint="eastAsia"/>
        </w:rPr>
        <w:t>为近端约束系数。该近端项在几何意义上相当于对本地参数更新施加了一个指向全局参数的向心力，</w:t>
      </w:r>
      <m:oMath>
        <m:r>
          <m:rPr/>
          <w:rPr>
            <w:rFonts w:hint="default" w:ascii="Cambria Math" w:hAnsi="Cambria Math"/>
            <w:sz w:val="24"/>
          </w:rPr>
          <m:t>μ</m:t>
        </m:r>
      </m:oMath>
      <w:r>
        <w:rPr>
          <w:rFonts w:hint="eastAsia"/>
        </w:rPr>
        <w:t>越大则约束越强，模型参数向全局参数靠拢的程度越高。</w:t>
      </w:r>
    </w:p>
    <w:p w14:paraId="5A59EF25">
      <w:pPr>
        <w:rPr>
          <w:rFonts w:eastAsia="宋体"/>
          <w:lang w:val="en-US" w:eastAsia="zh-CN"/>
        </w:rPr>
      </w:pPr>
      <w:r>
        <w:rPr>
          <w:rFonts w:hint="eastAsia"/>
        </w:rPr>
        <w:t>固定的约束系数依旧存在一定的局限性。在训练初期，客户端模型参数与全局模型差异较大，客户端本地更新的参数偏移程度较大，需要较强的约束来保证聚合稳定性；而随着训练的推进，模型逐渐靠近最优点，此时过强的约束反而限制各客户端对本地数据分布的充分拟合，阻碍全局模型取得更高的精度。由此本文提出了一种</w:t>
      </w:r>
      <w:r>
        <w:rPr>
          <w:rFonts w:hint="eastAsia"/>
          <w:lang w:val="en-US" w:eastAsia="zh-CN"/>
        </w:rPr>
        <w:t>基于</w:t>
      </w:r>
      <w:r>
        <w:rPr>
          <w:rFonts w:hint="eastAsia"/>
        </w:rPr>
        <w:t>动态近端约束衰减机制的FedProx算法。</w:t>
      </w:r>
    </w:p>
    <w:p w14:paraId="38998AEB">
      <w:pPr>
        <w:pStyle w:val="4"/>
        <w:tabs>
          <w:tab w:val="clear" w:pos="561"/>
          <w:tab w:val="clear" w:pos="720"/>
        </w:tabs>
        <w:overflowPunct/>
        <w:spacing w:before="120" w:beforeLines="50"/>
        <w:ind w:firstLine="0"/>
        <w:jc w:val="both"/>
      </w:pPr>
      <w:bookmarkStart w:id="88" w:name="_Toc12582_ai"/>
      <w:bookmarkStart w:id="89" w:name="_Toc4809"/>
      <w:r>
        <w:rPr>
          <w:rFonts w:hint="eastAsia" w:ascii="Times New Roman" w:hAnsi="Times New Roman" w:eastAsia="黑体" w:cs="Times New Roman"/>
          <w:kern w:val="2"/>
          <w:sz w:val="28"/>
          <w:szCs w:val="20"/>
          <w:lang w:val="zh-CN" w:eastAsia="zh-CN" w:bidi="ar-SA"/>
        </w:rPr>
        <w:t xml:space="preserve">3.2.2 </w:t>
      </w:r>
      <w:bookmarkEnd w:id="88"/>
      <w:r>
        <w:rPr>
          <w:rFonts w:hint="eastAsia" w:ascii="Times New Roman" w:hAnsi="Times New Roman" w:eastAsia="黑体" w:cs="Times New Roman"/>
          <w:kern w:val="2"/>
          <w:sz w:val="28"/>
          <w:szCs w:val="20"/>
          <w:lang w:val="zh-CN" w:eastAsia="zh-CN" w:bidi="ar-SA"/>
        </w:rPr>
        <w:t>动态近端约束衰减机制设计</w:t>
      </w:r>
      <w:bookmarkEnd w:id="89"/>
    </w:p>
    <w:p w14:paraId="06B3E197">
      <w:pPr>
        <w:rPr>
          <w:rFonts w:hint="eastAsia"/>
        </w:rPr>
      </w:pPr>
      <w:r>
        <w:rPr>
          <w:rFonts w:hint="eastAsia"/>
        </w:rPr>
        <w:t>针对固定近端约束在不同训练阶段的自适应能力不足的问题，本文提出了一种基于余弦衰减的动态近端约束机制。其核心思想是使近端约束系数</w:t>
      </w:r>
      <m:oMath>
        <m:r>
          <m:rPr/>
          <w:rPr>
            <w:rFonts w:hint="default" w:ascii="Cambria Math" w:hAnsi="Cambria Math"/>
            <w:sz w:val="24"/>
          </w:rPr>
          <m:t>μ</m:t>
        </m:r>
      </m:oMath>
      <w:r>
        <w:rPr>
          <w:rFonts w:hint="eastAsia"/>
        </w:rPr>
        <w:t>随联邦训练轮次从预设的初始值逐渐衰减至接近于零的极小值，在训练前期施加较强约束以保证收敛稳定性，在训练后期减弱约束以释放局部拟合空间。</w:t>
      </w:r>
    </w:p>
    <w:p w14:paraId="46D9D09C">
      <w:pPr>
        <w:pStyle w:val="56"/>
        <w:keepNext w:val="0"/>
        <w:keepLines w:val="0"/>
        <w:pageBreakBefore w:val="0"/>
        <w:widowControl w:val="0"/>
        <w:kinsoku/>
        <w:wordWrap/>
        <w:overflowPunct/>
        <w:topLinePunct w:val="0"/>
        <w:autoSpaceDE/>
        <w:autoSpaceDN/>
        <w:bidi w:val="0"/>
        <w:adjustRightInd/>
        <w:snapToGrid/>
        <w:spacing w:after="157" w:afterLines="50"/>
        <w:textAlignment w:val="auto"/>
        <w:rPr>
          <w:rFonts w:hint="default"/>
          <w:lang w:val="en-US"/>
        </w:rPr>
      </w:pPr>
      <w:r>
        <w:rPr>
          <w:rFonts w:hint="eastAsia"/>
          <w:lang w:eastAsia="zh-CN"/>
        </w:rPr>
        <w:drawing>
          <wp:anchor distT="0" distB="0" distL="114300" distR="114300" simplePos="0" relativeHeight="251663360" behindDoc="0" locked="0" layoutInCell="1" allowOverlap="1">
            <wp:simplePos x="0" y="0"/>
            <wp:positionH relativeFrom="column">
              <wp:posOffset>106680</wp:posOffset>
            </wp:positionH>
            <wp:positionV relativeFrom="paragraph">
              <wp:posOffset>30480</wp:posOffset>
            </wp:positionV>
            <wp:extent cx="5328285" cy="3168650"/>
            <wp:effectExtent l="0" t="0" r="5715" b="1270"/>
            <wp:wrapTopAndBottom/>
            <wp:docPr id="2" name="图片 2" descr="Image_1778870080998_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_1778870080998_922"/>
                    <pic:cNvPicPr>
                      <a:picLocks noChangeAspect="1"/>
                    </pic:cNvPicPr>
                  </pic:nvPicPr>
                  <pic:blipFill>
                    <a:blip r:embed="rId46"/>
                    <a:stretch>
                      <a:fillRect/>
                    </a:stretch>
                  </pic:blipFill>
                  <pic:spPr>
                    <a:xfrm>
                      <a:off x="0" y="0"/>
                      <a:ext cx="5328285" cy="3168650"/>
                    </a:xfrm>
                    <a:prstGeom prst="rect">
                      <a:avLst/>
                    </a:prstGeom>
                  </pic:spPr>
                </pic:pic>
              </a:graphicData>
            </a:graphic>
          </wp:anchor>
        </w:drawing>
      </w:r>
      <w:r>
        <w:rPr>
          <w:rFonts w:hint="eastAsia"/>
        </w:rPr>
        <w:t xml:space="preserve">图 </w:t>
      </w:r>
      <w:r>
        <w:rPr>
          <w:rFonts w:hint="eastAsia"/>
          <w:lang w:val="en-US" w:eastAsia="zh-CN"/>
        </w:rPr>
        <w:t>3</w:t>
      </w:r>
      <w:r>
        <w:rPr>
          <w:rFonts w:hint="eastAsia"/>
        </w:rPr>
        <w:t>-</w:t>
      </w:r>
      <w:r>
        <w:rPr>
          <w:rFonts w:hint="eastAsia"/>
        </w:rPr>
        <w:fldChar w:fldCharType="begin"/>
      </w:r>
      <w:r>
        <w:instrText xml:space="preserve"> </w:instrText>
      </w:r>
      <w:r>
        <w:rPr>
          <w:rFonts w:hint="eastAsia"/>
        </w:rPr>
        <w:instrText xml:space="preserve">SEQ 图_1- \* ARABIC</w:instrText>
      </w:r>
      <w:r>
        <w:instrText xml:space="preserve"> </w:instrText>
      </w:r>
      <w:r>
        <w:fldChar w:fldCharType="separate"/>
      </w:r>
      <w:r>
        <w:rPr>
          <w:rFonts w:hint="eastAsia"/>
        </w:rPr>
        <w:t>1</w:t>
      </w:r>
      <w:r>
        <w:fldChar w:fldCharType="end"/>
      </w:r>
      <w:r>
        <w:t xml:space="preserve"> </w:t>
      </w:r>
      <w:r>
        <w:rPr>
          <w:rFonts w:hint="eastAsia"/>
          <w:lang w:val="en-US" w:eastAsia="zh-CN"/>
        </w:rPr>
        <w:t>动态近端约束余弦衰减曲线</w:t>
      </w:r>
    </w:p>
    <w:p w14:paraId="698969B3">
      <w:pPr>
        <w:rPr>
          <w:rFonts w:hint="eastAsia"/>
        </w:rPr>
      </w:pPr>
      <w:r>
        <w:rPr>
          <w:rFonts w:hint="eastAsia"/>
        </w:rPr>
        <w:t>动态</w:t>
      </w:r>
      <m:oMath>
        <m:r>
          <m:rPr/>
          <w:rPr>
            <w:rFonts w:hint="default" w:ascii="Cambria Math" w:hAnsi="Cambria Math"/>
            <w:sz w:val="24"/>
          </w:rPr>
          <m:t>μ</m:t>
        </m:r>
      </m:oMath>
      <w:r>
        <w:rPr>
          <w:rFonts w:hint="eastAsia"/>
        </w:rPr>
        <w:t>的调度函数设计如下：</w:t>
      </w:r>
    </w:p>
    <w:p w14:paraId="27FB518F">
      <w:pPr>
        <w:pStyle w:val="44"/>
        <w:keepNext w:val="0"/>
        <w:keepLines w:val="0"/>
        <w:pageBreakBefore w:val="0"/>
        <w:widowControl w:val="0"/>
        <w:kinsoku/>
        <w:wordWrap/>
        <w:overflowPunct/>
        <w:topLinePunct w:val="0"/>
        <w:autoSpaceDE w:val="0"/>
        <w:autoSpaceDN w:val="0"/>
        <w:bidi w:val="0"/>
        <w:adjustRightInd w:val="0"/>
        <w:snapToGrid/>
        <w:spacing w:before="120" w:beforeLines="50" w:after="120" w:afterLines="50"/>
        <w:textAlignment w:val="auto"/>
        <w:rPr>
          <w:rFonts w:hint="default"/>
          <w:i/>
          <w:iCs w:val="0"/>
          <w:lang w:val="en-US" w:eastAsia="zh-CN"/>
        </w:rPr>
      </w:pPr>
      <m:oMathPara>
        <m:oMath>
          <m:eqArr>
            <m:eqArrPr>
              <m:maxDist m:val="1"/>
              <m:ctrlPr>
                <w:rPr>
                  <w:rFonts w:hint="default"/>
                  <w:i/>
                  <w:iCs w:val="0"/>
                  <w:lang w:val="en-US" w:eastAsia="zh-CN"/>
                </w:rPr>
              </m:ctrlPr>
            </m:eqArrPr>
            <m:e>
              <m:r>
                <m:rPr/>
                <w:rPr>
                  <w:rFonts w:hint="default" w:ascii="Cambria Math" w:hAnsi="Cambria Math"/>
                </w:rPr>
                <m:t>μ(t)=</m:t>
              </m:r>
              <m:sSub>
                <m:sSubPr>
                  <m:ctrlPr>
                    <w:rPr>
                      <w:rFonts w:ascii="Cambria Math" w:hAnsi="Cambria Math"/>
                      <w:i/>
                      <w:iCs w:val="0"/>
                    </w:rPr>
                  </m:ctrlPr>
                </m:sSubPr>
                <m:e>
                  <m:r>
                    <m:rPr/>
                    <w:rPr>
                      <w:rFonts w:hint="default" w:ascii="Cambria Math" w:hAnsi="Cambria Math"/>
                    </w:rPr>
                    <m:t>μ</m:t>
                  </m:r>
                  <m:ctrlPr>
                    <w:rPr>
                      <w:rFonts w:ascii="Cambria Math" w:hAnsi="Cambria Math"/>
                      <w:i/>
                      <w:iCs w:val="0"/>
                    </w:rPr>
                  </m:ctrlPr>
                </m:e>
                <m:sub>
                  <m:r>
                    <m:rPr/>
                    <w:rPr>
                      <w:rFonts w:ascii="Cambria Math" w:hAnsi="Cambria Math"/>
                    </w:rPr>
                    <m:t>0</m:t>
                  </m:r>
                  <m:ctrlPr>
                    <w:rPr>
                      <w:rFonts w:ascii="Cambria Math" w:hAnsi="Cambria Math"/>
                      <w:i/>
                      <w:iCs w:val="0"/>
                    </w:rPr>
                  </m:ctrlPr>
                </m:sub>
              </m:sSub>
              <m:r>
                <m:rPr/>
                <w:rPr>
                  <w:rFonts w:ascii="Cambria Math" w:hAnsi="Cambria Math"/>
                </w:rPr>
                <m:t>·</m:t>
              </m:r>
              <m:f>
                <m:fPr>
                  <m:ctrlPr>
                    <w:rPr>
                      <w:rFonts w:ascii="Cambria Math" w:hAnsi="Cambria Math"/>
                      <w:i/>
                      <w:iCs w:val="0"/>
                    </w:rPr>
                  </m:ctrlPr>
                </m:fPr>
                <m:num>
                  <m:r>
                    <m:rPr/>
                    <w:rPr>
                      <w:rFonts w:hint="default" w:ascii="Cambria Math" w:hAnsi="Cambria Math"/>
                    </w:rPr>
                    <m:t>1+cos(π·</m:t>
                  </m:r>
                  <m:f>
                    <m:fPr>
                      <m:ctrlPr>
                        <w:rPr>
                          <w:rFonts w:ascii="Cambria Math" w:hAnsi="Cambria Math"/>
                          <w:i/>
                          <w:iCs w:val="0"/>
                        </w:rPr>
                      </m:ctrlPr>
                    </m:fPr>
                    <m:num>
                      <m:r>
                        <m:rPr/>
                        <w:rPr>
                          <w:rFonts w:hint="default" w:ascii="Cambria Math" w:hAnsi="Cambria Math"/>
                        </w:rPr>
                        <m:t>t</m:t>
                      </m:r>
                      <m:ctrlPr>
                        <w:rPr>
                          <w:rFonts w:ascii="Cambria Math" w:hAnsi="Cambria Math"/>
                          <w:i/>
                          <w:iCs w:val="0"/>
                        </w:rPr>
                      </m:ctrlPr>
                    </m:num>
                    <m:den>
                      <m:r>
                        <m:rPr/>
                        <w:rPr>
                          <w:rFonts w:hint="default" w:ascii="Times New Roman" w:hAnsi="Times New Roman"/>
                          <w:lang w:val="en-US" w:eastAsia="zh-CN"/>
                        </w:rPr>
                        <m:t>T</m:t>
                      </m:r>
                      <m:ctrlPr>
                        <w:rPr>
                          <w:rFonts w:ascii="Cambria Math" w:hAnsi="Cambria Math"/>
                          <w:i/>
                          <w:iCs w:val="0"/>
                        </w:rPr>
                      </m:ctrlPr>
                    </m:den>
                  </m:f>
                  <m:r>
                    <m:rPr/>
                    <w:rPr>
                      <w:rFonts w:ascii="Cambria Math" w:hAnsi="Cambria Math"/>
                    </w:rPr>
                    <m:t>)</m:t>
                  </m:r>
                  <m:ctrlPr>
                    <w:rPr>
                      <w:rFonts w:ascii="Cambria Math" w:hAnsi="Cambria Math"/>
                      <w:i/>
                      <w:iCs w:val="0"/>
                    </w:rPr>
                  </m:ctrlPr>
                </m:num>
                <m:den>
                  <m:r>
                    <m:rPr/>
                    <w:rPr>
                      <w:rFonts w:ascii="Cambria Math" w:hAnsi="Cambria Math"/>
                      <w:lang w:val="en-US" w:eastAsia="zh-CN"/>
                    </w:rPr>
                    <m:t>2</m:t>
                  </m:r>
                  <m:ctrlPr>
                    <w:rPr>
                      <w:rFonts w:ascii="Cambria Math" w:hAnsi="Cambria Math"/>
                      <w:i/>
                      <w:iCs w:val="0"/>
                    </w:rPr>
                  </m:ctrlPr>
                </m:den>
              </m:f>
              <m:r>
                <m:rPr>
                  <m:sty m:val="p"/>
                </m:rPr>
                <w:rPr>
                  <w:rFonts w:hint="default"/>
                  <w:lang w:val="en-US" w:eastAsia="zh-CN"/>
                </w:rPr>
                <m:t>#</m:t>
              </m:r>
              <m:r>
                <m:rPr>
                  <m:sty m:val="p"/>
                </m:rPr>
                <w:rPr>
                  <w:rFonts w:hint="eastAsia"/>
                  <w:lang w:val="en-US" w:eastAsia="zh-CN"/>
                </w:rPr>
                <m:t>公式（</m:t>
              </m:r>
              <m:r>
                <m:rPr>
                  <m:nor/>
                  <m:sty m:val="p"/>
                </m:rPr>
                <w:rPr>
                  <w:rFonts w:hint="default" w:ascii="Times New Roman" w:hAnsi="Times New Roman" w:cs="Times New Roman"/>
                  <w:b w:val="0"/>
                  <w:i w:val="0"/>
                  <w:lang w:val="en-US" w:eastAsia="zh-CN"/>
                </w:rPr>
                <m:t>3-2</m:t>
              </m:r>
              <m:r>
                <m:rPr>
                  <m:sty m:val="p"/>
                </m:rPr>
                <w:rPr>
                  <w:rFonts w:hint="eastAsia"/>
                  <w:lang w:val="en-US" w:eastAsia="zh-CN"/>
                </w:rPr>
                <m:t>）</m:t>
              </m:r>
              <m:ctrlPr>
                <w:rPr>
                  <w:rFonts w:hint="default"/>
                  <w:i/>
                  <w:iCs w:val="0"/>
                  <w:lang w:val="en-US" w:eastAsia="zh-CN"/>
                </w:rPr>
              </m:ctrlPr>
            </m:e>
          </m:eqArr>
        </m:oMath>
      </m:oMathPara>
    </w:p>
    <w:p w14:paraId="3365554E">
      <w:pPr>
        <w:rPr>
          <w:rFonts w:hint="eastAsia"/>
        </w:rPr>
      </w:pPr>
      <w:r>
        <w:rPr>
          <w:rFonts w:hint="eastAsia"/>
        </w:rPr>
        <w:t>其中</w:t>
      </w:r>
      <m:oMath>
        <m:sSub>
          <m:sSubPr>
            <m:ctrlPr>
              <w:rPr>
                <w:rFonts w:ascii="Cambria Math" w:hAnsi="Cambria Math"/>
                <w:i/>
                <w:iCs/>
              </w:rPr>
            </m:ctrlPr>
          </m:sSubPr>
          <m:e>
            <m:r>
              <m:rPr/>
              <w:rPr>
                <w:rFonts w:hint="default" w:ascii="Cambria Math" w:hAnsi="Cambria Math"/>
              </w:rPr>
              <m:t>μ</m:t>
            </m:r>
            <m:ctrlPr>
              <w:rPr>
                <w:rFonts w:ascii="Cambria Math" w:hAnsi="Cambria Math"/>
                <w:i/>
                <w:iCs/>
              </w:rPr>
            </m:ctrlPr>
          </m:e>
          <m:sub>
            <m:r>
              <m:rPr/>
              <w:rPr>
                <w:rFonts w:ascii="Cambria Math" w:hAnsi="Cambria Math"/>
              </w:rPr>
              <m:t>0</m:t>
            </m:r>
            <m:ctrlPr>
              <w:rPr>
                <w:rFonts w:ascii="Cambria Math" w:hAnsi="Cambria Math"/>
                <w:i/>
                <w:iCs/>
              </w:rPr>
            </m:ctrlPr>
          </m:sub>
        </m:sSub>
      </m:oMath>
      <w:r>
        <w:rPr>
          <w:rFonts w:hint="eastAsia"/>
        </w:rPr>
        <w:t>为约束系数的初始值，</w:t>
      </w:r>
      <m:oMath>
        <m:r>
          <m:rPr/>
          <w:rPr>
            <w:rFonts w:hint="default" w:ascii="Cambria Math" w:hAnsi="Cambria Math"/>
            <w:sz w:val="24"/>
          </w:rPr>
          <m:t>t</m:t>
        </m:r>
      </m:oMath>
      <w:r>
        <w:rPr>
          <w:rFonts w:hint="eastAsia"/>
        </w:rPr>
        <w:t>为当前联邦训练轮次，</w:t>
      </w:r>
      <m:oMath>
        <m:r>
          <m:rPr/>
          <w:rPr>
            <w:rFonts w:hint="default" w:ascii="Cambria Math" w:hAnsi="Cambria Math"/>
            <w:sz w:val="24"/>
          </w:rPr>
          <m:t>T</m:t>
        </m:r>
      </m:oMath>
      <w:r>
        <w:rPr>
          <w:rFonts w:hint="eastAsia"/>
        </w:rPr>
        <w:t>为总训练轮数。该余弦衰减函数在训练初期维持较高约束强度，在训练中期开始平缓下降，到训练后期趋近于零。与线性衰减相比，余弦衰减在中后期保持了较长的适中约束区间，使模型在即将收敛的阶段无需经历约束强度的剧烈变化。</w:t>
      </w:r>
    </w:p>
    <w:p w14:paraId="42708C7E">
      <w:pPr>
        <w:rPr>
          <w:rFonts w:hint="eastAsia"/>
        </w:rPr>
        <w:sectPr>
          <w:headerReference r:id="rId30" w:type="default"/>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r>
        <w:rPr>
          <w:rFonts w:hint="eastAsia"/>
        </w:rPr>
        <w:t>该衰减策略的设计依据在于：随着联邦训练的进行，各客户端的本地模型不断向全局最优靠近，其参数偏移的自然幅度本就逐渐减小，因此外部约束的需求也随之递减。动态衰减机制的引入使得模型能够在训练早期从全局聚合的稳定性中获益，在训练后期又不会被过强的约束所限制。上述动态衰减策略的执行流程如算法</w:t>
      </w:r>
      <w:r>
        <w:rPr>
          <w:rFonts w:hint="eastAsia"/>
          <w:lang w:val="en-US" w:eastAsia="zh-CN"/>
        </w:rPr>
        <w:t>3-1</w:t>
      </w:r>
      <w:r>
        <w:rPr>
          <w:rFonts w:hint="eastAsia"/>
        </w:rPr>
        <w:t>所示。</w:t>
      </w:r>
    </w:p>
    <w:p w14:paraId="29F485C5">
      <w:pPr>
        <w:rPr>
          <w:rFonts w:hint="eastAsia"/>
        </w:rPr>
      </w:pP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2865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single" w:color="000000" w:sz="12" w:space="0"/>
              <w:left w:val="nil"/>
              <w:bottom w:val="single" w:color="000000" w:sz="4" w:space="0"/>
              <w:right w:val="nil"/>
              <w:tl2br w:val="nil"/>
            </w:tcBorders>
            <w:shd w:val="clear" w:color="auto" w:fill="FFFFFF"/>
          </w:tcPr>
          <w:p w14:paraId="24E21225">
            <w:pPr>
              <w:pStyle w:val="56"/>
              <w:keepNext w:val="0"/>
              <w:keepLines w:val="0"/>
              <w:pageBreakBefore w:val="0"/>
              <w:widowControl w:val="0"/>
              <w:kinsoku/>
              <w:wordWrap/>
              <w:overflowPunct/>
              <w:topLinePunct w:val="0"/>
              <w:autoSpaceDE/>
              <w:autoSpaceDN/>
              <w:bidi w:val="0"/>
              <w:adjustRightInd/>
              <w:snapToGrid/>
              <w:spacing w:after="157" w:afterLines="50"/>
              <w:jc w:val="left"/>
              <w:textAlignment w:val="auto"/>
              <w:rPr>
                <w:rFonts w:hint="eastAsia"/>
                <w:b w:val="0"/>
                <w:color w:val="000000"/>
              </w:rPr>
            </w:pPr>
            <w:r>
              <w:rPr>
                <w:rFonts w:hint="eastAsia"/>
                <w:b/>
                <w:bCs/>
                <w:sz w:val="28"/>
                <w:szCs w:val="28"/>
              </w:rPr>
              <w:t>算法</w:t>
            </w:r>
            <w:r>
              <w:rPr>
                <w:rFonts w:hint="eastAsia"/>
                <w:sz w:val="28"/>
                <w:szCs w:val="28"/>
                <w:lang w:val="en-US" w:eastAsia="zh-CN"/>
              </w:rPr>
              <w:t>3-</w:t>
            </w:r>
            <w:r>
              <w:rPr>
                <w:rFonts w:hint="eastAsia"/>
                <w:sz w:val="28"/>
                <w:szCs w:val="28"/>
              </w:rPr>
              <w:t>1 FedProx——基于动态近端约束衰减的联邦优化算法</w:t>
            </w:r>
          </w:p>
        </w:tc>
      </w:tr>
      <w:tr w14:paraId="521F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0" w:type="pct"/>
            <w:tcBorders>
              <w:top w:val="nil"/>
              <w:left w:val="nil"/>
              <w:bottom w:val="nil"/>
              <w:right w:val="nil"/>
            </w:tcBorders>
            <w:shd w:val="clear" w:color="auto" w:fill="FFFFFF"/>
          </w:tcPr>
          <w:p w14:paraId="61EB0D86">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b/>
                <w:bCs/>
                <w:sz w:val="24"/>
                <w:szCs w:val="24"/>
              </w:rPr>
              <w:t>输入</w:t>
            </w:r>
            <w:r>
              <w:rPr>
                <w:rFonts w:hint="eastAsia"/>
                <w:sz w:val="24"/>
                <w:szCs w:val="24"/>
              </w:rPr>
              <w:t>：客户端集合</w:t>
            </w:r>
            <w:r>
              <w:rPr>
                <w:rFonts w:hint="default" w:ascii="Cambria Math" w:hAnsi="Cambria Math" w:cs="Cambria Math"/>
                <w:i/>
                <w:iCs/>
                <w:sz w:val="24"/>
                <w:szCs w:val="24"/>
              </w:rPr>
              <w:t>K</w:t>
            </w:r>
            <w:r>
              <w:rPr>
                <w:rFonts w:hint="eastAsia"/>
                <w:sz w:val="24"/>
                <w:szCs w:val="24"/>
              </w:rPr>
              <w:t>，总轮次</w:t>
            </w:r>
            <w:r>
              <w:rPr>
                <w:rFonts w:hint="default" w:ascii="Cambria Math" w:hAnsi="Cambria Math" w:cs="Cambria Math"/>
                <w:i/>
                <w:iCs/>
                <w:sz w:val="24"/>
                <w:szCs w:val="24"/>
              </w:rPr>
              <w:t>T</w:t>
            </w:r>
            <w:r>
              <w:rPr>
                <w:rFonts w:hint="eastAsia"/>
                <w:sz w:val="24"/>
                <w:szCs w:val="24"/>
              </w:rPr>
              <w:t>，初始全局模型</w:t>
            </w:r>
            <m:oMath>
              <m:r>
                <m:rPr/>
                <w:rPr>
                  <w:rFonts w:hint="default" w:ascii="Cambria Math" w:hAnsi="Cambria Math" w:cs="Cambria Math"/>
                  <w:sz w:val="24"/>
                  <w:szCs w:val="24"/>
                </w:rPr>
                <m:t>w₀</m:t>
              </m:r>
            </m:oMath>
            <w:r>
              <w:rPr>
                <w:rFonts w:hint="eastAsia"/>
                <w:sz w:val="24"/>
                <w:szCs w:val="24"/>
              </w:rPr>
              <w:t>，初始近端系数</w:t>
            </w:r>
            <m:oMath>
              <m:r>
                <m:rPr/>
                <w:rPr>
                  <w:rFonts w:hint="default" w:ascii="Cambria Math" w:hAnsi="Cambria Math" w:cs="Cambria Math"/>
                  <w:sz w:val="24"/>
                  <w:szCs w:val="24"/>
                </w:rPr>
                <m:t>μ₀</m:t>
              </m:r>
            </m:oMath>
            <w:r>
              <w:rPr>
                <w:rFonts w:hint="eastAsia"/>
                <w:sz w:val="24"/>
                <w:szCs w:val="24"/>
              </w:rPr>
              <w:t>，</w:t>
            </w:r>
          </w:p>
        </w:tc>
      </w:tr>
      <w:tr w14:paraId="2DF9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6B824E6A">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本地训练轮次</w:t>
            </w:r>
            <w:r>
              <w:rPr>
                <w:rFonts w:hint="default" w:ascii="Cambria Math" w:hAnsi="Cambria Math" w:cs="Cambria Math"/>
                <w:i/>
                <w:iCs/>
                <w:sz w:val="24"/>
                <w:szCs w:val="24"/>
              </w:rPr>
              <w:t>E</w:t>
            </w:r>
            <w:r>
              <w:rPr>
                <w:rFonts w:hint="eastAsia"/>
                <w:sz w:val="24"/>
                <w:szCs w:val="24"/>
              </w:rPr>
              <w:t>，批次大小</w:t>
            </w:r>
            <w:r>
              <w:rPr>
                <w:rFonts w:hint="default" w:ascii="Cambria Math" w:hAnsi="Cambria Math" w:cs="Cambria Math"/>
                <w:i/>
                <w:iCs/>
                <w:sz w:val="24"/>
                <w:szCs w:val="24"/>
              </w:rPr>
              <w:t>B</w:t>
            </w:r>
          </w:p>
        </w:tc>
      </w:tr>
      <w:tr w14:paraId="0EF9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728C1220">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b/>
                <w:bCs/>
                <w:sz w:val="24"/>
                <w:szCs w:val="24"/>
              </w:rPr>
              <w:t>输出</w:t>
            </w:r>
            <w:r>
              <w:rPr>
                <w:rFonts w:hint="eastAsia"/>
                <w:sz w:val="24"/>
                <w:szCs w:val="24"/>
              </w:rPr>
              <w:t>：全局模型</w:t>
            </w:r>
            <m:oMath>
              <m:sSub>
                <m:sSubPr>
                  <m:ctrlPr>
                    <w:rPr>
                      <w:rFonts w:hint="default" w:ascii="Cambria Math" w:hAnsi="Cambria Math" w:cs="Cambria Math"/>
                      <w:i/>
                      <w:iCs/>
                      <w:sz w:val="24"/>
                      <w:szCs w:val="24"/>
                    </w:rPr>
                  </m:ctrlPr>
                </m:sSub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rPr>
                    <m:t>T</m:t>
                  </m:r>
                  <m:ctrlPr>
                    <w:rPr>
                      <w:rFonts w:hint="default" w:ascii="Cambria Math" w:hAnsi="Cambria Math" w:cs="Cambria Math"/>
                      <w:i/>
                      <w:iCs/>
                      <w:sz w:val="24"/>
                      <w:szCs w:val="24"/>
                    </w:rPr>
                  </m:ctrlPr>
                </m:sub>
              </m:sSub>
            </m:oMath>
          </w:p>
        </w:tc>
      </w:tr>
      <w:tr w14:paraId="3C95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00" w:type="pct"/>
            <w:tcBorders>
              <w:top w:val="nil"/>
              <w:left w:val="nil"/>
              <w:bottom w:val="nil"/>
              <w:right w:val="nil"/>
            </w:tcBorders>
            <w:shd w:val="clear" w:color="auto" w:fill="FFFFFF"/>
          </w:tcPr>
          <w:p w14:paraId="66CE334E">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 xml:space="preserve">1:  </w:t>
            </w:r>
            <w:r>
              <w:rPr>
                <w:rFonts w:hint="eastAsia"/>
                <w:b/>
                <w:bCs/>
                <w:sz w:val="24"/>
                <w:szCs w:val="24"/>
              </w:rPr>
              <w:t>for</w:t>
            </w:r>
            <w:r>
              <w:rPr>
                <w:rFonts w:hint="eastAsia"/>
                <w:sz w:val="24"/>
                <w:szCs w:val="24"/>
              </w:rPr>
              <w:t xml:space="preserve"> </w:t>
            </w:r>
            <m:oMath>
              <m:r>
                <m:rPr/>
                <w:rPr>
                  <w:rFonts w:hint="default" w:ascii="Cambria Math" w:hAnsi="Cambria Math"/>
                  <w:sz w:val="24"/>
                </w:rPr>
                <m:t>t</m:t>
              </m:r>
            </m:oMath>
            <w:r>
              <w:rPr>
                <w:rFonts w:hint="eastAsia"/>
                <w:sz w:val="24"/>
                <w:szCs w:val="24"/>
              </w:rPr>
              <w:t xml:space="preserve">= 0, 1, ..., </w:t>
            </w:r>
            <m:oMath>
              <m:r>
                <m:rPr/>
                <w:rPr>
                  <w:rFonts w:ascii="Times New Roman" w:hAnsi="Times New Roman"/>
                  <w:sz w:val="24"/>
                  <w:szCs w:val="24"/>
                </w:rPr>
                <m:t>T</m:t>
              </m:r>
            </m:oMath>
            <w:r>
              <w:rPr>
                <w:rFonts w:hint="eastAsia"/>
                <w:sz w:val="24"/>
                <w:szCs w:val="24"/>
              </w:rPr>
              <w:t xml:space="preserve">−1 </w:t>
            </w:r>
            <w:r>
              <w:rPr>
                <w:rFonts w:hint="eastAsia"/>
                <w:b/>
                <w:bCs/>
                <w:sz w:val="24"/>
                <w:szCs w:val="24"/>
              </w:rPr>
              <w:t>do</w:t>
            </w:r>
          </w:p>
        </w:tc>
      </w:tr>
      <w:tr w14:paraId="3D4F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7848C0F8">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i/>
                <w:iCs/>
                <w:sz w:val="24"/>
                <w:szCs w:val="24"/>
              </w:rPr>
            </w:pPr>
            <w:r>
              <w:rPr>
                <w:rFonts w:hint="eastAsia"/>
                <w:sz w:val="24"/>
                <w:szCs w:val="24"/>
              </w:rPr>
              <w:t>2:      服务器计算动态近端系数</w:t>
            </w:r>
            <m:oMath>
              <m:r>
                <m:rPr/>
                <w:rPr>
                  <w:rStyle w:val="47"/>
                  <w:rFonts w:hint="default" w:ascii="Cambria Math" w:hAnsi="Cambria Math" w:cs="Cambria Math"/>
                </w:rPr>
                <m:t>μ</m:t>
              </m:r>
              <m:r>
                <m:rPr>
                  <m:sty m:val="p"/>
                </m:rPr>
                <w:rPr>
                  <w:rStyle w:val="47"/>
                  <w:rFonts w:hint="default" w:ascii="Cambria Math" w:hAnsi="Cambria Math" w:cs="Cambria Math"/>
                </w:rPr>
                <m:t>(</m:t>
              </m:r>
              <m:r>
                <m:rPr/>
                <w:rPr>
                  <w:rStyle w:val="47"/>
                  <w:rFonts w:hint="default" w:ascii="Cambria Math" w:hAnsi="Cambria Math" w:cs="Cambria Math"/>
                </w:rPr>
                <m:t>t</m:t>
              </m:r>
              <m:r>
                <m:rPr>
                  <m:sty m:val="p"/>
                </m:rPr>
                <w:rPr>
                  <w:rStyle w:val="47"/>
                  <w:rFonts w:hint="default" w:ascii="Cambria Math" w:hAnsi="Cambria Math" w:cs="Cambria Math"/>
                </w:rPr>
                <m:t>)=</m:t>
              </m:r>
              <m:sSub>
                <m:sSubPr>
                  <m:ctrlPr>
                    <w:rPr>
                      <w:rStyle w:val="47"/>
                      <w:rFonts w:hint="default" w:ascii="Cambria Math" w:hAnsi="Cambria Math" w:cs="Cambria Math"/>
                      <w:i/>
                      <w:iCs/>
                    </w:rPr>
                  </m:ctrlPr>
                </m:sSubPr>
                <m:e>
                  <m:r>
                    <m:rPr/>
                    <w:rPr>
                      <w:rStyle w:val="47"/>
                      <w:rFonts w:hint="default" w:ascii="Cambria Math" w:hAnsi="Cambria Math" w:cs="Cambria Math"/>
                    </w:rPr>
                    <m:t>μ</m:t>
                  </m:r>
                  <m:ctrlPr>
                    <w:rPr>
                      <w:rStyle w:val="47"/>
                      <w:rFonts w:hint="default" w:ascii="Cambria Math" w:hAnsi="Cambria Math" w:cs="Cambria Math"/>
                      <w:i/>
                      <w:iCs/>
                    </w:rPr>
                  </m:ctrlPr>
                </m:e>
                <m:sub>
                  <m:r>
                    <m:rPr>
                      <m:sty m:val="p"/>
                    </m:rPr>
                    <w:rPr>
                      <w:rStyle w:val="47"/>
                      <w:rFonts w:hint="default" w:ascii="Cambria Math" w:hAnsi="Cambria Math" w:cs="Cambria Math"/>
                    </w:rPr>
                    <m:t>0</m:t>
                  </m:r>
                  <m:ctrlPr>
                    <w:rPr>
                      <w:rStyle w:val="47"/>
                      <w:rFonts w:hint="default" w:ascii="Cambria Math" w:hAnsi="Cambria Math" w:cs="Cambria Math"/>
                      <w:i/>
                      <w:iCs/>
                    </w:rPr>
                  </m:ctrlPr>
                </m:sub>
              </m:sSub>
              <m:r>
                <m:rPr>
                  <m:sty m:val="p"/>
                </m:rPr>
                <w:rPr>
                  <w:rStyle w:val="47"/>
                  <w:rFonts w:hint="default" w:ascii="Cambria Math" w:hAnsi="Cambria Math" w:cs="Cambria Math"/>
                </w:rPr>
                <m:t>·</m:t>
              </m:r>
              <m:f>
                <m:fPr>
                  <m:ctrlPr>
                    <w:rPr>
                      <w:rStyle w:val="47"/>
                      <w:rFonts w:hint="default" w:ascii="Cambria Math" w:hAnsi="Cambria Math" w:cs="Cambria Math"/>
                      <w:i/>
                      <w:iCs/>
                    </w:rPr>
                  </m:ctrlPr>
                </m:fPr>
                <m:num>
                  <m:r>
                    <m:rPr>
                      <m:sty m:val="p"/>
                    </m:rPr>
                    <w:rPr>
                      <w:rStyle w:val="47"/>
                      <w:rFonts w:hint="default" w:ascii="Cambria Math" w:hAnsi="Cambria Math" w:cs="Cambria Math"/>
                    </w:rPr>
                    <m:t>1+</m:t>
                  </m:r>
                  <m:r>
                    <m:rPr/>
                    <w:rPr>
                      <w:rStyle w:val="47"/>
                      <w:rFonts w:hint="default" w:ascii="Cambria Math" w:hAnsi="Cambria Math" w:cs="Cambria Math"/>
                    </w:rPr>
                    <m:t>cos</m:t>
                  </m:r>
                  <m:r>
                    <m:rPr>
                      <m:sty m:val="p"/>
                    </m:rPr>
                    <w:rPr>
                      <w:rStyle w:val="47"/>
                      <w:rFonts w:hint="default" w:ascii="Cambria Math" w:hAnsi="Cambria Math" w:cs="Cambria Math"/>
                    </w:rPr>
                    <m:t>(</m:t>
                  </m:r>
                  <m:r>
                    <m:rPr/>
                    <w:rPr>
                      <w:rStyle w:val="47"/>
                      <w:rFonts w:hint="default" w:ascii="Cambria Math" w:hAnsi="Cambria Math" w:cs="Cambria Math"/>
                    </w:rPr>
                    <m:t>π</m:t>
                  </m:r>
                  <m:r>
                    <m:rPr>
                      <m:sty m:val="p"/>
                    </m:rPr>
                    <w:rPr>
                      <w:rStyle w:val="47"/>
                      <w:rFonts w:hint="default" w:ascii="Cambria Math" w:hAnsi="Cambria Math" w:cs="Cambria Math"/>
                    </w:rPr>
                    <m:t>·</m:t>
                  </m:r>
                  <m:f>
                    <m:fPr>
                      <m:ctrlPr>
                        <w:rPr>
                          <w:rStyle w:val="47"/>
                          <w:rFonts w:hint="default" w:ascii="Cambria Math" w:hAnsi="Cambria Math" w:cs="Cambria Math"/>
                          <w:i/>
                          <w:iCs/>
                        </w:rPr>
                      </m:ctrlPr>
                    </m:fPr>
                    <m:num>
                      <m:r>
                        <m:rPr/>
                        <w:rPr>
                          <w:rStyle w:val="47"/>
                          <w:rFonts w:hint="default" w:ascii="Cambria Math" w:hAnsi="Cambria Math" w:cs="Cambria Math"/>
                        </w:rPr>
                        <m:t>t</m:t>
                      </m:r>
                      <m:ctrlPr>
                        <w:rPr>
                          <w:rStyle w:val="47"/>
                          <w:rFonts w:hint="default" w:ascii="Cambria Math" w:hAnsi="Cambria Math" w:cs="Cambria Math"/>
                          <w:i/>
                          <w:iCs/>
                        </w:rPr>
                      </m:ctrlPr>
                    </m:num>
                    <m:den>
                      <m:r>
                        <m:rPr/>
                        <w:rPr>
                          <w:rStyle w:val="47"/>
                          <w:rFonts w:hint="default" w:ascii="Cambria Math" w:hAnsi="Cambria Math" w:cs="Cambria Math"/>
                          <w:lang w:val="en-US" w:eastAsia="zh-CN"/>
                        </w:rPr>
                        <m:t>T</m:t>
                      </m:r>
                      <m:ctrlPr>
                        <w:rPr>
                          <w:rStyle w:val="47"/>
                          <w:rFonts w:hint="default" w:ascii="Cambria Math" w:hAnsi="Cambria Math" w:cs="Cambria Math"/>
                          <w:i/>
                          <w:iCs/>
                        </w:rPr>
                      </m:ctrlPr>
                    </m:den>
                  </m:f>
                  <m:r>
                    <m:rPr>
                      <m:sty m:val="p"/>
                    </m:rPr>
                    <w:rPr>
                      <w:rStyle w:val="47"/>
                      <w:rFonts w:hint="default" w:ascii="Cambria Math" w:hAnsi="Cambria Math" w:cs="Cambria Math"/>
                    </w:rPr>
                    <m:t>)</m:t>
                  </m:r>
                  <m:ctrlPr>
                    <w:rPr>
                      <w:rStyle w:val="47"/>
                      <w:rFonts w:hint="default" w:ascii="Cambria Math" w:hAnsi="Cambria Math" w:cs="Cambria Math"/>
                      <w:i/>
                      <w:iCs/>
                    </w:rPr>
                  </m:ctrlPr>
                </m:num>
                <m:den>
                  <m:r>
                    <m:rPr>
                      <m:sty m:val="p"/>
                    </m:rPr>
                    <w:rPr>
                      <w:rStyle w:val="47"/>
                      <w:rFonts w:hint="default" w:ascii="Cambria Math" w:hAnsi="Cambria Math" w:cs="Cambria Math"/>
                      <w:lang w:val="en-US" w:eastAsia="zh-CN"/>
                    </w:rPr>
                    <m:t>2</m:t>
                  </m:r>
                  <m:ctrlPr>
                    <w:rPr>
                      <w:rStyle w:val="47"/>
                      <w:rFonts w:hint="default" w:ascii="Cambria Math" w:hAnsi="Cambria Math" w:cs="Cambria Math"/>
                      <w:i/>
                      <w:iCs/>
                    </w:rPr>
                  </m:ctrlPr>
                </m:den>
              </m:f>
            </m:oMath>
          </w:p>
        </w:tc>
      </w:tr>
      <w:tr w14:paraId="04A2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44687E64">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3:      服务器将全局模型</w:t>
            </w:r>
            <m:oMath>
              <m:sSub>
                <m:sSubPr>
                  <m:ctrlPr>
                    <w:rPr>
                      <w:rFonts w:hint="default" w:ascii="Cambria Math" w:hAnsi="Cambria Math" w:cs="Cambria Math"/>
                      <w:i/>
                      <w:iCs/>
                      <w:sz w:val="24"/>
                      <w:szCs w:val="24"/>
                    </w:rPr>
                  </m:ctrlPr>
                </m:sSub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rPr>
                    <m:t>t</m:t>
                  </m:r>
                  <m:ctrlPr>
                    <w:rPr>
                      <w:rFonts w:hint="default" w:ascii="Cambria Math" w:hAnsi="Cambria Math" w:cs="Cambria Math"/>
                      <w:i/>
                      <w:iCs/>
                      <w:sz w:val="24"/>
                      <w:szCs w:val="24"/>
                    </w:rPr>
                  </m:ctrlPr>
                </m:sub>
              </m:sSub>
            </m:oMath>
            <w:r>
              <w:rPr>
                <w:rFonts w:hint="eastAsia"/>
                <w:sz w:val="24"/>
                <w:szCs w:val="24"/>
              </w:rPr>
              <w:t>广播至全部客户端</w:t>
            </w:r>
          </w:p>
        </w:tc>
      </w:tr>
      <w:tr w14:paraId="2B9E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42919E0A">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 xml:space="preserve">4:      </w:t>
            </w:r>
            <w:r>
              <w:rPr>
                <w:rFonts w:hint="eastAsia"/>
                <w:b/>
                <w:bCs/>
                <w:sz w:val="24"/>
                <w:szCs w:val="24"/>
              </w:rPr>
              <w:t>for</w:t>
            </w:r>
            <w:r>
              <w:rPr>
                <w:rFonts w:hint="eastAsia"/>
                <w:sz w:val="24"/>
                <w:szCs w:val="24"/>
              </w:rPr>
              <w:t xml:space="preserve"> each client </w:t>
            </w:r>
            <m:oMath>
              <m:r>
                <m:rPr/>
                <w:rPr>
                  <w:rFonts w:hint="default" w:ascii="Cambria Math" w:hAnsi="Cambria Math" w:cs="Cambria Math"/>
                  <w:sz w:val="24"/>
                  <w:szCs w:val="24"/>
                </w:rPr>
                <m:t>k</m:t>
              </m:r>
            </m:oMath>
            <w:r>
              <w:rPr>
                <w:rFonts w:hint="eastAsia"/>
                <w:sz w:val="24"/>
                <w:szCs w:val="24"/>
                <w:lang w:val="en-US" w:eastAsia="zh-CN"/>
              </w:rPr>
              <w:t xml:space="preserve"> </w:t>
            </w:r>
            <w:r>
              <w:rPr>
                <w:rFonts w:hint="eastAsia"/>
                <w:sz w:val="24"/>
                <w:szCs w:val="24"/>
              </w:rPr>
              <w:t>∈</w:t>
            </w:r>
            <w:r>
              <w:rPr>
                <w:rFonts w:hint="eastAsia"/>
                <w:sz w:val="24"/>
                <w:szCs w:val="24"/>
                <w:lang w:val="en-US" w:eastAsia="zh-CN"/>
              </w:rPr>
              <w:t xml:space="preserve"> </w:t>
            </w:r>
            <m:oMath>
              <m:r>
                <m:rPr/>
                <w:rPr>
                  <w:rFonts w:hint="default" w:ascii="Cambria Math" w:hAnsi="Cambria Math"/>
                  <w:sz w:val="24"/>
                </w:rPr>
                <m:t>K</m:t>
              </m:r>
            </m:oMath>
            <w:r>
              <w:rPr>
                <w:rFonts w:hint="eastAsia"/>
                <w:sz w:val="24"/>
                <w:szCs w:val="24"/>
              </w:rPr>
              <w:t>（并行）</w:t>
            </w:r>
            <w:r>
              <w:rPr>
                <w:rFonts w:hint="eastAsia"/>
                <w:b/>
                <w:bCs/>
                <w:sz w:val="24"/>
                <w:szCs w:val="24"/>
              </w:rPr>
              <w:t>do</w:t>
            </w:r>
          </w:p>
        </w:tc>
      </w:tr>
      <w:tr w14:paraId="7413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25047312">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sz w:val="24"/>
                <w:szCs w:val="24"/>
              </w:rPr>
            </w:pPr>
            <w:r>
              <w:rPr>
                <w:rFonts w:hint="eastAsia"/>
                <w:sz w:val="24"/>
                <w:szCs w:val="24"/>
              </w:rPr>
              <w:t>5:          以</w:t>
            </w:r>
            <m:oMath>
              <m:sSub>
                <m:sSubPr>
                  <m:ctrlPr>
                    <w:rPr>
                      <w:rFonts w:hint="default" w:ascii="Cambria Math" w:hAnsi="Cambria Math" w:cs="Cambria Math"/>
                      <w:i/>
                      <w:iCs/>
                      <w:sz w:val="24"/>
                      <w:szCs w:val="24"/>
                    </w:rPr>
                  </m:ctrlPr>
                </m:sSub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lang w:val="en-US" w:eastAsia="zh-CN"/>
                    </w:rPr>
                    <m:t>t</m:t>
                  </m:r>
                  <m:ctrlPr>
                    <w:rPr>
                      <w:rFonts w:hint="default" w:ascii="Cambria Math" w:hAnsi="Cambria Math" w:cs="Cambria Math"/>
                      <w:i/>
                      <w:iCs/>
                      <w:sz w:val="24"/>
                      <w:szCs w:val="24"/>
                    </w:rPr>
                  </m:ctrlPr>
                </m:sub>
              </m:sSub>
            </m:oMath>
            <w:r>
              <w:rPr>
                <w:rFonts w:hint="eastAsia"/>
                <w:sz w:val="24"/>
                <w:szCs w:val="24"/>
              </w:rPr>
              <w:t>为初始化，使用本地数据最小化局部目标</w:t>
            </w:r>
            <m:oMath>
              <m:sSub>
                <m:sSubPr>
                  <m:ctrlPr>
                    <w:rPr>
                      <w:rFonts w:hint="default" w:ascii="Cambria Math" w:hAnsi="Cambria Math" w:cs="Cambria Math"/>
                      <w:i/>
                      <w:iCs/>
                      <w:sz w:val="24"/>
                      <w:szCs w:val="24"/>
                    </w:rPr>
                  </m:ctrlPr>
                </m:sSubPr>
                <m:e>
                  <m:r>
                    <m:rPr/>
                    <w:rPr>
                      <w:rFonts w:hint="default" w:ascii="Cambria Math" w:hAnsi="Cambria Math" w:cs="Cambria Math"/>
                      <w:sz w:val="24"/>
                      <w:szCs w:val="24"/>
                    </w:rPr>
                    <m:t>h</m:t>
                  </m:r>
                  <m:ctrlPr>
                    <w:rPr>
                      <w:rFonts w:hint="default" w:ascii="Cambria Math" w:hAnsi="Cambria Math" w:cs="Cambria Math"/>
                      <w:i/>
                      <w:iCs/>
                      <w:sz w:val="24"/>
                      <w:szCs w:val="24"/>
                    </w:rPr>
                  </m:ctrlPr>
                </m:e>
                <m:sub>
                  <m:r>
                    <m:rPr/>
                    <w:rPr>
                      <w:rFonts w:hint="default" w:ascii="Cambria Math" w:hAnsi="Cambria Math" w:cs="Cambria Math"/>
                      <w:sz w:val="24"/>
                      <w:szCs w:val="24"/>
                    </w:rPr>
                    <m:t>k</m:t>
                  </m:r>
                  <m:ctrlPr>
                    <w:rPr>
                      <w:rFonts w:hint="default" w:ascii="Cambria Math" w:hAnsi="Cambria Math" w:cs="Cambria Math"/>
                      <w:i/>
                      <w:iCs/>
                      <w:sz w:val="24"/>
                      <w:szCs w:val="24"/>
                    </w:rPr>
                  </m:ctrlPr>
                </m:sub>
              </m:sSub>
              <m:r>
                <m:rPr/>
                <w:rPr>
                  <w:rFonts w:hint="default" w:ascii="Cambria Math" w:hAnsi="Cambria Math" w:cs="Cambria Math"/>
                  <w:sz w:val="24"/>
                  <w:szCs w:val="24"/>
                </w:rPr>
                <m:t>(w)</m:t>
              </m:r>
            </m:oMath>
          </w:p>
        </w:tc>
      </w:tr>
      <w:tr w14:paraId="0933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26EB825F">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6:          执行</w:t>
            </w:r>
            <m:oMath>
              <m:r>
                <m:rPr/>
                <w:rPr>
                  <w:rFonts w:hint="default" w:ascii="Cambria Math" w:hAnsi="Cambria Math" w:cs="Cambria Math"/>
                  <w:sz w:val="24"/>
                  <w:szCs w:val="24"/>
                </w:rPr>
                <m:t>E</m:t>
              </m:r>
            </m:oMath>
            <w:r>
              <w:rPr>
                <w:rFonts w:hint="eastAsia"/>
                <w:sz w:val="24"/>
                <w:szCs w:val="24"/>
              </w:rPr>
              <w:t>轮SGD，得</w:t>
            </w:r>
            <w:r>
              <w:rPr>
                <w:rFonts w:hint="eastAsia"/>
                <w:sz w:val="24"/>
                <w:szCs w:val="24"/>
                <w:lang w:val="en-US" w:eastAsia="zh-CN"/>
              </w:rPr>
              <w:t>到</w:t>
            </w:r>
            <w:r>
              <w:rPr>
                <w:rFonts w:hint="eastAsia"/>
                <w:sz w:val="24"/>
                <w:szCs w:val="24"/>
              </w:rPr>
              <w:t>本地更新参数</w:t>
            </w:r>
            <m:oMath>
              <m:sSubSup>
                <m:sSubSupPr>
                  <m:ctrlPr>
                    <w:rPr>
                      <w:rFonts w:hint="default" w:ascii="Cambria Math" w:hAnsi="Cambria Math" w:cs="Cambria Math"/>
                      <w:i/>
                      <w:iCs/>
                      <w:sz w:val="24"/>
                      <w:szCs w:val="24"/>
                    </w:rPr>
                  </m:ctrlPr>
                </m:sSubSup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rPr>
                    <m:t>t+1</m:t>
                  </m:r>
                  <m:ctrlPr>
                    <w:rPr>
                      <w:rFonts w:hint="default" w:ascii="Cambria Math" w:hAnsi="Cambria Math" w:cs="Cambria Math"/>
                      <w:i/>
                      <w:iCs/>
                      <w:sz w:val="24"/>
                      <w:szCs w:val="24"/>
                    </w:rPr>
                  </m:ctrlPr>
                </m:sub>
                <m:sup>
                  <m:r>
                    <m:rPr/>
                    <w:rPr>
                      <w:rFonts w:hint="default" w:ascii="Cambria Math" w:hAnsi="Cambria Math" w:cs="Cambria Math"/>
                      <w:sz w:val="24"/>
                      <w:szCs w:val="24"/>
                    </w:rPr>
                    <m:t>k</m:t>
                  </m:r>
                  <m:ctrlPr>
                    <w:rPr>
                      <w:rFonts w:hint="default" w:ascii="Cambria Math" w:hAnsi="Cambria Math" w:cs="Cambria Math"/>
                      <w:i/>
                      <w:iCs/>
                      <w:sz w:val="24"/>
                      <w:szCs w:val="24"/>
                    </w:rPr>
                  </m:ctrlPr>
                </m:sup>
              </m:sSubSup>
            </m:oMath>
          </w:p>
        </w:tc>
      </w:tr>
      <w:tr w14:paraId="59F0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3F31E302">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7:          将</w:t>
            </w:r>
            <m:oMath>
              <m:sSubSup>
                <m:sSubSupPr>
                  <m:ctrlPr>
                    <w:rPr>
                      <w:rFonts w:hint="default" w:ascii="Cambria Math" w:hAnsi="Cambria Math" w:cs="Cambria Math"/>
                      <w:i/>
                      <w:iCs/>
                      <w:sz w:val="24"/>
                      <w:szCs w:val="24"/>
                    </w:rPr>
                  </m:ctrlPr>
                </m:sSubSup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rPr>
                    <m:t>t+1</m:t>
                  </m:r>
                  <m:ctrlPr>
                    <w:rPr>
                      <w:rFonts w:hint="default" w:ascii="Cambria Math" w:hAnsi="Cambria Math" w:cs="Cambria Math"/>
                      <w:i/>
                      <w:iCs/>
                      <w:sz w:val="24"/>
                      <w:szCs w:val="24"/>
                    </w:rPr>
                  </m:ctrlPr>
                </m:sub>
                <m:sup>
                  <m:r>
                    <m:rPr/>
                    <w:rPr>
                      <w:rFonts w:hint="default" w:ascii="Cambria Math" w:hAnsi="Cambria Math" w:cs="Cambria Math"/>
                      <w:sz w:val="24"/>
                      <w:szCs w:val="24"/>
                    </w:rPr>
                    <m:t>k</m:t>
                  </m:r>
                  <m:ctrlPr>
                    <w:rPr>
                      <w:rFonts w:hint="default" w:ascii="Cambria Math" w:hAnsi="Cambria Math" w:cs="Cambria Math"/>
                      <w:i/>
                      <w:iCs/>
                      <w:sz w:val="24"/>
                      <w:szCs w:val="24"/>
                    </w:rPr>
                  </m:ctrlPr>
                </m:sup>
              </m:sSubSup>
            </m:oMath>
            <w:r>
              <w:rPr>
                <w:rFonts w:hint="eastAsia"/>
                <w:sz w:val="24"/>
                <w:szCs w:val="24"/>
              </w:rPr>
              <w:t>上传至服务器</w:t>
            </w:r>
          </w:p>
        </w:tc>
      </w:tr>
      <w:tr w14:paraId="7C4A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70E57D50">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 xml:space="preserve">8:      </w:t>
            </w:r>
            <w:r>
              <w:rPr>
                <w:rFonts w:hint="eastAsia"/>
                <w:b/>
                <w:bCs/>
                <w:sz w:val="24"/>
                <w:szCs w:val="24"/>
              </w:rPr>
              <w:t>end for</w:t>
            </w:r>
          </w:p>
        </w:tc>
      </w:tr>
      <w:tr w14:paraId="51A7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19E834E5">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9:      服务器按样本量加权聚合：</w:t>
            </w:r>
            <m:oMath>
              <m:sSub>
                <m:sSubPr>
                  <m:ctrlPr>
                    <w:rPr>
                      <w:rFonts w:hint="default" w:ascii="Cambria Math" w:hAnsi="Cambria Math"/>
                      <w:i/>
                      <w:iCs/>
                      <w:sz w:val="24"/>
                      <w:szCs w:val="24"/>
                    </w:rPr>
                  </m:ctrlPr>
                </m:sSubPr>
                <m:e>
                  <m:r>
                    <m:rPr/>
                    <w:rPr>
                      <w:rFonts w:hint="default" w:ascii="Cambria Math" w:hAnsi="Cambria Math"/>
                      <w:sz w:val="24"/>
                      <w:szCs w:val="24"/>
                    </w:rPr>
                    <m:t>w</m:t>
                  </m:r>
                  <m:ctrlPr>
                    <w:rPr>
                      <w:rFonts w:hint="default" w:ascii="Cambria Math" w:hAnsi="Cambria Math"/>
                      <w:i/>
                      <w:iCs/>
                      <w:sz w:val="24"/>
                      <w:szCs w:val="24"/>
                    </w:rPr>
                  </m:ctrlPr>
                </m:e>
                <m:sub>
                  <m:r>
                    <m:rPr/>
                    <w:rPr>
                      <w:rFonts w:hint="default" w:ascii="Cambria Math" w:hAnsi="Cambria Math"/>
                      <w:sz w:val="24"/>
                      <w:szCs w:val="24"/>
                    </w:rPr>
                    <m:t>t+1</m:t>
                  </m:r>
                  <m:ctrlPr>
                    <w:rPr>
                      <w:rFonts w:hint="default" w:ascii="Cambria Math" w:hAnsi="Cambria Math"/>
                      <w:i/>
                      <w:iCs/>
                      <w:sz w:val="24"/>
                      <w:szCs w:val="24"/>
                    </w:rPr>
                  </m:ctrlPr>
                </m:sub>
              </m:sSub>
              <m:r>
                <m:rPr/>
                <w:rPr>
                  <w:rFonts w:hint="default" w:ascii="Cambria Math" w:hAnsi="Cambria Math"/>
                  <w:sz w:val="24"/>
                  <w:szCs w:val="24"/>
                </w:rPr>
                <m:t>=</m:t>
              </m:r>
              <m:sSub>
                <m:sSubPr>
                  <m:ctrlPr>
                    <w:rPr>
                      <w:rFonts w:hint="default" w:ascii="Cambria Math" w:hAnsi="Cambria Math"/>
                      <w:i/>
                      <w:iCs/>
                      <w:sz w:val="24"/>
                      <w:szCs w:val="24"/>
                    </w:rPr>
                  </m:ctrlPr>
                </m:sSubPr>
                <m:e>
                  <m:r>
                    <m:rPr/>
                    <w:rPr>
                      <w:rFonts w:hint="default" w:ascii="Cambria Math" w:hAnsi="Cambria Math"/>
                      <w:sz w:val="24"/>
                      <w:szCs w:val="24"/>
                    </w:rPr>
                    <m:t>Σ</m:t>
                  </m:r>
                  <m:ctrlPr>
                    <w:rPr>
                      <w:rFonts w:hint="default" w:ascii="Cambria Math" w:hAnsi="Cambria Math"/>
                      <w:i/>
                      <w:iCs/>
                      <w:sz w:val="24"/>
                      <w:szCs w:val="24"/>
                    </w:rPr>
                  </m:ctrlPr>
                </m:e>
                <m:sub>
                  <m:r>
                    <m:rPr/>
                    <w:rPr>
                      <w:rFonts w:hint="default" w:ascii="Cambria Math" w:hAnsi="Cambria Math"/>
                      <w:sz w:val="24"/>
                      <w:szCs w:val="24"/>
                    </w:rPr>
                    <m:t>k</m:t>
                  </m:r>
                  <m:ctrlPr>
                    <w:rPr>
                      <w:rFonts w:hint="default" w:ascii="Cambria Math" w:hAnsi="Cambria Math"/>
                      <w:i/>
                      <w:iCs/>
                      <w:sz w:val="24"/>
                      <w:szCs w:val="24"/>
                    </w:rPr>
                  </m:ctrlPr>
                </m:sub>
              </m:sSub>
              <m:r>
                <m:rPr/>
                <w:rPr>
                  <w:rFonts w:hint="default" w:ascii="Cambria Math" w:hAnsi="Cambria Math"/>
                  <w:sz w:val="24"/>
                  <w:szCs w:val="24"/>
                </w:rPr>
                <m:t>(</m:t>
              </m:r>
              <m:sSub>
                <m:sSubPr>
                  <m:ctrlPr>
                    <w:rPr>
                      <w:rFonts w:hint="default" w:ascii="Cambria Math" w:hAnsi="Cambria Math"/>
                      <w:i/>
                      <w:iCs/>
                      <w:sz w:val="24"/>
                      <w:szCs w:val="24"/>
                    </w:rPr>
                  </m:ctrlPr>
                </m:sSubPr>
                <m:e>
                  <m:r>
                    <m:rPr/>
                    <w:rPr>
                      <w:rFonts w:hint="default" w:ascii="Cambria Math" w:hAnsi="Cambria Math"/>
                      <w:sz w:val="24"/>
                      <w:szCs w:val="24"/>
                    </w:rPr>
                    <m:t>n</m:t>
                  </m:r>
                  <m:ctrlPr>
                    <w:rPr>
                      <w:rFonts w:hint="default" w:ascii="Cambria Math" w:hAnsi="Cambria Math"/>
                      <w:i/>
                      <w:iCs/>
                      <w:sz w:val="24"/>
                      <w:szCs w:val="24"/>
                    </w:rPr>
                  </m:ctrlPr>
                </m:e>
                <m:sub>
                  <m:r>
                    <m:rPr/>
                    <w:rPr>
                      <w:rFonts w:hint="default" w:ascii="Cambria Math" w:hAnsi="Cambria Math"/>
                      <w:sz w:val="24"/>
                      <w:szCs w:val="24"/>
                    </w:rPr>
                    <m:t>k</m:t>
                  </m:r>
                  <m:ctrlPr>
                    <w:rPr>
                      <w:rFonts w:hint="default" w:ascii="Cambria Math" w:hAnsi="Cambria Math"/>
                      <w:i/>
                      <w:iCs/>
                      <w:sz w:val="24"/>
                      <w:szCs w:val="24"/>
                    </w:rPr>
                  </m:ctrlPr>
                </m:sub>
              </m:sSub>
              <m:r>
                <m:rPr/>
                <w:rPr>
                  <w:rFonts w:hint="default" w:ascii="Cambria Math" w:hAnsi="Cambria Math"/>
                  <w:sz w:val="24"/>
                  <w:szCs w:val="24"/>
                </w:rPr>
                <m:t>/N)·</m:t>
              </m:r>
              <m:sSubSup>
                <m:sSubSupPr>
                  <m:ctrlPr>
                    <w:rPr>
                      <w:rFonts w:hint="default" w:ascii="Cambria Math" w:hAnsi="Cambria Math"/>
                      <w:i/>
                      <w:iCs/>
                      <w:sz w:val="24"/>
                      <w:szCs w:val="24"/>
                    </w:rPr>
                  </m:ctrlPr>
                </m:sSubSupPr>
                <m:e>
                  <m:r>
                    <m:rPr/>
                    <w:rPr>
                      <w:rFonts w:hint="default" w:ascii="Cambria Math" w:hAnsi="Cambria Math"/>
                      <w:sz w:val="24"/>
                      <w:szCs w:val="24"/>
                    </w:rPr>
                    <m:t>w</m:t>
                  </m:r>
                  <m:ctrlPr>
                    <w:rPr>
                      <w:rFonts w:hint="default" w:ascii="Cambria Math" w:hAnsi="Cambria Math"/>
                      <w:i/>
                      <w:iCs/>
                      <w:sz w:val="24"/>
                      <w:szCs w:val="24"/>
                    </w:rPr>
                  </m:ctrlPr>
                </m:e>
                <m:sub>
                  <m:r>
                    <m:rPr/>
                    <w:rPr>
                      <w:rFonts w:hint="default" w:ascii="Cambria Math" w:hAnsi="Cambria Math"/>
                      <w:sz w:val="24"/>
                      <w:szCs w:val="24"/>
                    </w:rPr>
                    <m:t>t+1</m:t>
                  </m:r>
                  <m:ctrlPr>
                    <w:rPr>
                      <w:rFonts w:hint="default" w:ascii="Cambria Math" w:hAnsi="Cambria Math"/>
                      <w:i/>
                      <w:iCs/>
                      <w:sz w:val="24"/>
                      <w:szCs w:val="24"/>
                    </w:rPr>
                  </m:ctrlPr>
                </m:sub>
                <m:sup>
                  <m:r>
                    <m:rPr/>
                    <w:rPr>
                      <w:rFonts w:hint="default" w:ascii="Cambria Math" w:hAnsi="Cambria Math"/>
                      <w:sz w:val="24"/>
                      <w:szCs w:val="24"/>
                    </w:rPr>
                    <m:t>k</m:t>
                  </m:r>
                  <m:ctrlPr>
                    <w:rPr>
                      <w:rFonts w:hint="default" w:ascii="Cambria Math" w:hAnsi="Cambria Math"/>
                      <w:i/>
                      <w:iCs/>
                      <w:sz w:val="24"/>
                      <w:szCs w:val="24"/>
                    </w:rPr>
                  </m:ctrlPr>
                </m:sup>
              </m:sSubSup>
            </m:oMath>
          </w:p>
        </w:tc>
      </w:tr>
      <w:tr w14:paraId="5205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nil"/>
              <w:right w:val="nil"/>
            </w:tcBorders>
            <w:shd w:val="clear" w:color="auto" w:fill="FFFFFF"/>
          </w:tcPr>
          <w:p w14:paraId="4BE9832F">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rFonts w:hint="eastAsia"/>
                <w:sz w:val="24"/>
                <w:szCs w:val="24"/>
              </w:rPr>
            </w:pPr>
            <w:r>
              <w:rPr>
                <w:rFonts w:hint="eastAsia"/>
                <w:sz w:val="24"/>
                <w:szCs w:val="24"/>
              </w:rPr>
              <w:t xml:space="preserve">10: </w:t>
            </w:r>
            <w:r>
              <w:rPr>
                <w:rFonts w:hint="eastAsia"/>
                <w:sz w:val="24"/>
                <w:szCs w:val="24"/>
                <w:lang w:val="en-US" w:eastAsia="zh-CN"/>
              </w:rPr>
              <w:t xml:space="preserve"> </w:t>
            </w:r>
            <w:r>
              <w:rPr>
                <w:rFonts w:hint="eastAsia"/>
                <w:b/>
                <w:bCs/>
                <w:sz w:val="24"/>
                <w:szCs w:val="24"/>
              </w:rPr>
              <w:t>end for</w:t>
            </w:r>
          </w:p>
        </w:tc>
      </w:tr>
      <w:tr w14:paraId="5C68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Borders>
              <w:top w:val="nil"/>
              <w:left w:val="nil"/>
              <w:bottom w:val="single" w:color="000000" w:sz="12" w:space="0"/>
              <w:right w:val="nil"/>
            </w:tcBorders>
            <w:shd w:val="clear" w:color="auto" w:fill="FFFFFF"/>
          </w:tcPr>
          <w:p w14:paraId="6C36C845">
            <w:pPr>
              <w:pStyle w:val="58"/>
              <w:keepNext w:val="0"/>
              <w:keepLines w:val="0"/>
              <w:pageBreakBefore w:val="0"/>
              <w:widowControl/>
              <w:kinsoku/>
              <w:wordWrap/>
              <w:overflowPunct/>
              <w:topLinePunct w:val="0"/>
              <w:autoSpaceDE/>
              <w:autoSpaceDN/>
              <w:bidi w:val="0"/>
              <w:adjustRightInd/>
              <w:snapToGrid/>
              <w:spacing w:before="120" w:beforeLines="50" w:after="120" w:afterLines="50"/>
              <w:jc w:val="left"/>
              <w:textAlignment w:val="auto"/>
              <w:rPr>
                <w:sz w:val="24"/>
                <w:szCs w:val="24"/>
              </w:rPr>
            </w:pPr>
            <w:r>
              <w:rPr>
                <w:rFonts w:hint="eastAsia"/>
                <w:sz w:val="24"/>
                <w:szCs w:val="24"/>
              </w:rPr>
              <w:t xml:space="preserve">11: </w:t>
            </w:r>
            <w:r>
              <w:rPr>
                <w:rFonts w:hint="eastAsia"/>
                <w:sz w:val="24"/>
                <w:szCs w:val="24"/>
                <w:lang w:val="en-US" w:eastAsia="zh-CN"/>
              </w:rPr>
              <w:t xml:space="preserve"> </w:t>
            </w:r>
            <w:r>
              <w:rPr>
                <w:rFonts w:hint="eastAsia"/>
                <w:b/>
                <w:bCs/>
                <w:sz w:val="24"/>
                <w:szCs w:val="24"/>
              </w:rPr>
              <w:t>return</w:t>
            </w:r>
            <w:r>
              <w:rPr>
                <w:rFonts w:hint="eastAsia"/>
                <w:sz w:val="24"/>
                <w:szCs w:val="24"/>
              </w:rPr>
              <w:t xml:space="preserve"> </w:t>
            </w:r>
            <m:oMath>
              <m:sSub>
                <m:sSubPr>
                  <m:ctrlPr>
                    <w:rPr>
                      <w:rFonts w:hint="default" w:ascii="Cambria Math" w:hAnsi="Cambria Math" w:cs="Cambria Math"/>
                      <w:i/>
                      <w:iCs/>
                      <w:sz w:val="24"/>
                      <w:szCs w:val="24"/>
                    </w:rPr>
                  </m:ctrlPr>
                </m:sSubPr>
                <m:e>
                  <m:r>
                    <m:rPr/>
                    <w:rPr>
                      <w:rFonts w:hint="default" w:ascii="Cambria Math" w:hAnsi="Cambria Math" w:cs="Cambria Math"/>
                      <w:sz w:val="24"/>
                      <w:szCs w:val="24"/>
                    </w:rPr>
                    <m:t>w</m:t>
                  </m:r>
                  <m:ctrlPr>
                    <w:rPr>
                      <w:rFonts w:hint="default" w:ascii="Cambria Math" w:hAnsi="Cambria Math" w:cs="Cambria Math"/>
                      <w:i/>
                      <w:iCs/>
                      <w:sz w:val="24"/>
                      <w:szCs w:val="24"/>
                    </w:rPr>
                  </m:ctrlPr>
                </m:e>
                <m:sub>
                  <m:r>
                    <m:rPr/>
                    <w:rPr>
                      <w:rFonts w:hint="default" w:ascii="Cambria Math" w:hAnsi="Cambria Math" w:cs="Cambria Math"/>
                      <w:sz w:val="24"/>
                      <w:szCs w:val="24"/>
                    </w:rPr>
                    <m:t>T</m:t>
                  </m:r>
                  <m:ctrlPr>
                    <w:rPr>
                      <w:rFonts w:hint="default" w:ascii="Cambria Math" w:hAnsi="Cambria Math" w:cs="Cambria Math"/>
                      <w:i/>
                      <w:iCs/>
                      <w:sz w:val="24"/>
                      <w:szCs w:val="24"/>
                    </w:rPr>
                  </m:ctrlPr>
                </m:sub>
              </m:sSub>
            </m:oMath>
          </w:p>
        </w:tc>
      </w:tr>
    </w:tbl>
    <w:p w14:paraId="41D97A7F">
      <w:pPr>
        <w:pStyle w:val="3"/>
        <w:spacing w:before="240" w:beforeLines="100" w:after="120" w:afterLines="50"/>
        <w:ind w:firstLine="0"/>
      </w:pPr>
      <w:bookmarkStart w:id="90" w:name="_Toc6796"/>
      <w:r>
        <w:rPr>
          <w:rFonts w:hint="eastAsia" w:ascii="Times New Roman" w:hAnsi="Times New Roman" w:eastAsia="黑体" w:cs="Times New Roman"/>
          <w:bCs/>
          <w:kern w:val="2"/>
          <w:sz w:val="30"/>
          <w:szCs w:val="32"/>
          <w:lang w:val="zh-CN" w:eastAsia="zh-CN" w:bidi="ar-SA"/>
        </w:rPr>
        <w:t>3.3</w:t>
      </w:r>
      <w:r>
        <w:rPr>
          <w:rFonts w:hint="eastAsia" w:cs="Times New Roman"/>
          <w:bCs/>
          <w:kern w:val="2"/>
          <w:sz w:val="30"/>
          <w:szCs w:val="32"/>
          <w:lang w:val="en-US" w:eastAsia="zh-CN" w:bidi="ar-SA"/>
        </w:rPr>
        <w:t xml:space="preserve"> 基于</w:t>
      </w:r>
      <w:r>
        <w:rPr>
          <w:rFonts w:hint="eastAsia" w:ascii="Times New Roman" w:hAnsi="Times New Roman" w:eastAsia="黑体" w:cs="Times New Roman"/>
          <w:bCs/>
          <w:kern w:val="2"/>
          <w:sz w:val="30"/>
          <w:szCs w:val="32"/>
          <w:lang w:val="zh-CN" w:eastAsia="zh-CN" w:bidi="ar-SA"/>
        </w:rPr>
        <w:t>小样本条件的优化策略</w:t>
      </w:r>
      <w:bookmarkEnd w:id="90"/>
    </w:p>
    <w:p w14:paraId="4AE6AF01">
      <w:pPr>
        <w:rPr>
          <w:rFonts w:hint="eastAsia"/>
        </w:rPr>
      </w:pPr>
      <w:r>
        <w:rPr>
          <w:rFonts w:hint="eastAsia"/>
        </w:rPr>
        <w:t>在小样本数据条件下，联邦客户端若从随机权重开始训练，往往面临收敛速度慢、局部模型泛化能力弱等问题，尤其在数据分布异构明显的情况下，局部优化容易陷入偏差较大的局部最优，导致全局聚合效果欠佳。为此，本</w:t>
      </w:r>
      <w:r>
        <w:rPr>
          <w:rFonts w:hint="eastAsia"/>
          <w:lang w:val="en-US" w:eastAsia="zh-CN"/>
        </w:rPr>
        <w:t>研究采用</w:t>
      </w:r>
      <w:r>
        <w:rPr>
          <w:rFonts w:hint="eastAsia"/>
        </w:rPr>
        <w:t>了基于ImageNet预训练权重的迁移学习策略</w:t>
      </w:r>
      <w:r>
        <w:rPr>
          <w:rFonts w:hint="eastAsia"/>
          <w:lang w:val="en-US" w:eastAsia="zh-CN"/>
        </w:rPr>
        <w:t>和Mixup混合增强方法</w:t>
      </w:r>
      <w:r>
        <w:rPr>
          <w:rFonts w:hint="eastAsia"/>
        </w:rPr>
        <w:t>。</w:t>
      </w:r>
    </w:p>
    <w:p w14:paraId="423C6549">
      <w:pPr>
        <w:pStyle w:val="4"/>
        <w:tabs>
          <w:tab w:val="clear" w:pos="561"/>
          <w:tab w:val="clear" w:pos="720"/>
        </w:tabs>
        <w:overflowPunct/>
        <w:spacing w:before="120" w:beforeLines="50"/>
        <w:ind w:firstLine="0"/>
        <w:jc w:val="both"/>
      </w:pPr>
      <w:bookmarkStart w:id="91" w:name="_Toc28942"/>
      <w:r>
        <w:rPr>
          <w:rFonts w:hint="eastAsia" w:ascii="Times New Roman" w:hAnsi="Times New Roman" w:eastAsia="黑体" w:cs="Times New Roman"/>
          <w:kern w:val="2"/>
          <w:sz w:val="28"/>
          <w:szCs w:val="20"/>
          <w:lang w:val="zh-CN" w:eastAsia="zh-CN" w:bidi="ar-SA"/>
        </w:rPr>
        <w:t>3.</w:t>
      </w:r>
      <w:r>
        <w:rPr>
          <w:rFonts w:hint="eastAsia" w:cs="Times New Roman"/>
          <w:kern w:val="2"/>
          <w:sz w:val="28"/>
          <w:szCs w:val="20"/>
          <w:lang w:val="en-US" w:eastAsia="zh-CN" w:bidi="ar-SA"/>
        </w:rPr>
        <w:t>3</w:t>
      </w:r>
      <w:r>
        <w:rPr>
          <w:rFonts w:hint="eastAsia" w:ascii="Times New Roman" w:hAnsi="Times New Roman" w:eastAsia="黑体" w:cs="Times New Roman"/>
          <w:kern w:val="2"/>
          <w:sz w:val="28"/>
          <w:szCs w:val="20"/>
          <w:lang w:val="zh-CN" w:eastAsia="zh-CN" w:bidi="ar-SA"/>
        </w:rPr>
        <w:t>.</w:t>
      </w:r>
      <w:r>
        <w:rPr>
          <w:rFonts w:hint="eastAsia" w:cs="Times New Roman"/>
          <w:kern w:val="2"/>
          <w:sz w:val="28"/>
          <w:szCs w:val="20"/>
          <w:lang w:val="en-US" w:eastAsia="zh-CN" w:bidi="ar-SA"/>
        </w:rPr>
        <w:t>1</w:t>
      </w:r>
      <w:r>
        <w:rPr>
          <w:rFonts w:hint="eastAsia" w:ascii="Times New Roman" w:hAnsi="Times New Roman" w:eastAsia="黑体" w:cs="Times New Roman"/>
          <w:kern w:val="2"/>
          <w:sz w:val="28"/>
          <w:szCs w:val="20"/>
          <w:lang w:val="zh-CN" w:eastAsia="zh-CN" w:bidi="ar-SA"/>
        </w:rPr>
        <w:t xml:space="preserve"> ImageNet预训练权重迁移</w:t>
      </w:r>
      <w:bookmarkEnd w:id="91"/>
    </w:p>
    <w:p w14:paraId="429077DB">
      <w:pPr>
        <w:rPr>
          <w:rFonts w:hint="eastAsia"/>
        </w:rPr>
      </w:pPr>
      <w:r>
        <w:rPr>
          <w:rFonts w:hint="eastAsia"/>
        </w:rPr>
        <w:t>联邦场景下各客户端的数据规模十分有限，在本文的Crop农作物数据集中，受 Dirichlet分布（</w:t>
      </w:r>
      <m:oMath>
        <m:r>
          <m:rPr/>
          <w:rPr>
            <w:rFonts w:hint="default" w:ascii="Cambria Math" w:hAnsi="Cambria Math"/>
            <w:sz w:val="24"/>
          </w:rPr>
          <m:t>α</m:t>
        </m:r>
      </m:oMath>
      <w:r>
        <w:rPr>
          <w:rFonts w:hint="eastAsia"/>
        </w:rPr>
        <w:t>=1）的影响，各客户端实际持有的样本量在150至350张之间波动，平均约224张。在如此稀疏的数据条件下，随机初始化的模型在</w:t>
      </w:r>
      <w:r>
        <w:rPr>
          <w:rFonts w:hint="eastAsia"/>
          <w:lang w:val="en-US" w:eastAsia="zh-CN"/>
        </w:rPr>
        <w:t>完整</w:t>
      </w:r>
      <w:r>
        <w:rPr>
          <w:rFonts w:hint="eastAsia"/>
        </w:rPr>
        <w:t>联邦通信内</w:t>
      </w:r>
      <w:r>
        <w:rPr>
          <w:rFonts w:hint="eastAsia"/>
          <w:lang w:val="en-US" w:eastAsia="zh-CN"/>
        </w:rPr>
        <w:t>难以</w:t>
      </w:r>
      <w:r>
        <w:rPr>
          <w:rFonts w:hint="eastAsia"/>
        </w:rPr>
        <w:t>习得有区分力的视觉特征表示。</w:t>
      </w:r>
    </w:p>
    <w:p w14:paraId="06BA31C5">
      <w:pPr>
        <w:rPr>
          <w:rFonts w:hint="eastAsia"/>
        </w:rPr>
      </w:pPr>
      <w:r>
        <w:rPr>
          <w:rFonts w:hint="eastAsia"/>
        </w:rPr>
        <w:t>本</w:t>
      </w:r>
      <w:r>
        <w:rPr>
          <w:rFonts w:hint="eastAsia"/>
          <w:lang w:val="en-US" w:eastAsia="zh-CN"/>
        </w:rPr>
        <w:t>研究</w:t>
      </w:r>
      <w:r>
        <w:rPr>
          <w:rFonts w:hint="eastAsia"/>
        </w:rPr>
        <w:t>采用ImageNet预训练的ResNet18与MobileNetV2权重作为联邦训练的初始化。具体而言，每个客户端在加入联邦训练之前，其本地模型统一加载预训练的主干网络权重（不包含顶部分类层）。由于预训练权重已包含丰富的通用视觉特征，各客户端只需在联邦训练过程中对最后的分类层进行局部优化，主干网络的部分参数在联邦聚合的迭代中被不断更新适配。</w:t>
      </w:r>
    </w:p>
    <w:p w14:paraId="2DB10A78">
      <w:pPr>
        <w:rPr>
          <w:rFonts w:hint="eastAsia"/>
        </w:rPr>
      </w:pPr>
      <w:r>
        <w:rPr>
          <w:rFonts w:hint="eastAsia"/>
        </w:rPr>
        <w:t>预训练权重通过HuggingFace PyTorch Image Models（timm）库获取，其对应的pth</w:t>
      </w:r>
      <w:r>
        <w:rPr>
          <w:rFonts w:hint="eastAsia"/>
          <w:lang w:val="en-US" w:eastAsia="zh-CN"/>
        </w:rPr>
        <w:t>模型</w:t>
      </w:r>
      <w:r>
        <w:rPr>
          <w:rFonts w:hint="eastAsia"/>
        </w:rPr>
        <w:t>文件直接部署在训练服务器上，客户端在训练开始时从服务器下载的全局模型参数中继承这些预训练特征，因此预训练的有效性在联邦框架内被所有参与节点共享。</w:t>
      </w:r>
    </w:p>
    <w:p w14:paraId="048B7E84">
      <w:pPr>
        <w:pStyle w:val="4"/>
        <w:tabs>
          <w:tab w:val="clear" w:pos="561"/>
          <w:tab w:val="clear" w:pos="720"/>
        </w:tabs>
        <w:overflowPunct/>
        <w:spacing w:before="120" w:beforeLines="50"/>
        <w:ind w:firstLine="0"/>
        <w:jc w:val="both"/>
      </w:pPr>
      <w:bookmarkStart w:id="92" w:name="_Toc21731_ai"/>
      <w:bookmarkStart w:id="93" w:name="_Toc9438"/>
      <w:r>
        <w:rPr>
          <w:rFonts w:hint="eastAsia" w:ascii="Times New Roman" w:hAnsi="Times New Roman" w:eastAsia="黑体" w:cs="Times New Roman"/>
          <w:kern w:val="2"/>
          <w:sz w:val="28"/>
          <w:szCs w:val="20"/>
          <w:lang w:val="zh-CN" w:eastAsia="zh-CN" w:bidi="ar-SA"/>
        </w:rPr>
        <w:t>3.</w:t>
      </w:r>
      <w:r>
        <w:rPr>
          <w:rFonts w:hint="eastAsia" w:cs="Times New Roman"/>
          <w:kern w:val="2"/>
          <w:sz w:val="28"/>
          <w:szCs w:val="20"/>
          <w:lang w:val="en-US" w:eastAsia="zh-CN" w:bidi="ar-SA"/>
        </w:rPr>
        <w:t>3</w:t>
      </w:r>
      <w:r>
        <w:rPr>
          <w:rFonts w:hint="eastAsia" w:ascii="Times New Roman" w:hAnsi="Times New Roman" w:eastAsia="黑体" w:cs="Times New Roman"/>
          <w:kern w:val="2"/>
          <w:sz w:val="28"/>
          <w:szCs w:val="20"/>
          <w:lang w:val="zh-CN" w:eastAsia="zh-CN" w:bidi="ar-SA"/>
        </w:rPr>
        <w:t>.</w:t>
      </w:r>
      <w:r>
        <w:rPr>
          <w:rFonts w:hint="eastAsia" w:cs="Times New Roman"/>
          <w:kern w:val="2"/>
          <w:sz w:val="28"/>
          <w:szCs w:val="20"/>
          <w:lang w:val="en-US" w:eastAsia="zh-CN" w:bidi="ar-SA"/>
        </w:rPr>
        <w:t>2</w:t>
      </w:r>
      <w:r>
        <w:rPr>
          <w:rFonts w:hint="eastAsia" w:ascii="Times New Roman" w:hAnsi="Times New Roman" w:eastAsia="黑体" w:cs="Times New Roman"/>
          <w:kern w:val="2"/>
          <w:sz w:val="28"/>
          <w:szCs w:val="20"/>
          <w:lang w:val="zh-CN" w:eastAsia="zh-CN" w:bidi="ar-SA"/>
        </w:rPr>
        <w:t xml:space="preserve"> </w:t>
      </w:r>
      <w:bookmarkEnd w:id="92"/>
      <w:r>
        <w:rPr>
          <w:rFonts w:hint="eastAsia" w:ascii="Times New Roman" w:hAnsi="Times New Roman" w:eastAsia="黑体" w:cs="Times New Roman"/>
          <w:kern w:val="2"/>
          <w:sz w:val="28"/>
          <w:szCs w:val="20"/>
          <w:lang w:val="zh-CN" w:eastAsia="zh-CN" w:bidi="ar-SA"/>
        </w:rPr>
        <w:t>Mixup混合增强方法</w:t>
      </w:r>
      <w:bookmarkEnd w:id="93"/>
    </w:p>
    <w:p w14:paraId="4A76374D">
      <w:pPr>
        <w:rPr>
          <w:rFonts w:hint="eastAsia"/>
        </w:rPr>
      </w:pPr>
      <w:r>
        <w:rPr>
          <w:rFonts w:hint="eastAsia"/>
        </w:rPr>
        <w:t>Mixup是一种基于样本插值的数据增强方法</w:t>
      </w:r>
      <w:r>
        <w:rPr>
          <w:rFonts w:hint="eastAsia"/>
          <w:lang w:eastAsia="zh-CN"/>
        </w:rPr>
        <w:t>（</w:t>
      </w:r>
      <w:r>
        <w:t>Zhang et al., 2018</w:t>
      </w:r>
      <w:r>
        <w:rPr>
          <w:rFonts w:hint="eastAsia"/>
          <w:lang w:eastAsia="zh-CN"/>
        </w:rPr>
        <w:t>）</w:t>
      </w:r>
      <w:r>
        <w:rPr>
          <w:rFonts w:hint="eastAsia"/>
        </w:rPr>
        <w:t>。给定两个训练样本</w:t>
      </w:r>
      <m:oMath>
        <m:r>
          <m:rPr/>
          <w:rPr>
            <w:rFonts w:ascii="Cambria Math" w:hAnsi="Cambria Math"/>
          </w:rPr>
          <m:t>(</m:t>
        </m:r>
        <m:sSub>
          <m:sSubPr>
            <m:ctrlPr>
              <w:rPr>
                <w:rFonts w:ascii="Cambria Math" w:hAnsi="Cambria Math"/>
                <w:i/>
                <w:iCs/>
              </w:rPr>
            </m:ctrlPr>
          </m:sSubPr>
          <m:e>
            <m:r>
              <m:rPr/>
              <w:rPr>
                <w:rFonts w:hint="default" w:ascii="Cambria Math" w:hAnsi="Cambria Math"/>
              </w:rPr>
              <m:t>x</m:t>
            </m:r>
            <m:ctrlPr>
              <w:rPr>
                <w:rFonts w:ascii="Cambria Math" w:hAnsi="Cambria Math"/>
                <w:i/>
                <w:iCs/>
              </w:rPr>
            </m:ctrlPr>
          </m:e>
          <m:sub>
            <m:r>
              <m:rPr/>
              <w:rPr>
                <w:rFonts w:hint="default" w:ascii="Cambria Math" w:hAnsi="Cambria Math"/>
              </w:rPr>
              <m:t>i</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hint="default" w:ascii="Cambria Math" w:hAnsi="Cambria Math"/>
              </w:rPr>
              <m:t>y</m:t>
            </m:r>
            <m:ctrlPr>
              <w:rPr>
                <w:rFonts w:ascii="Cambria Math" w:hAnsi="Cambria Math"/>
                <w:i/>
                <w:iCs/>
              </w:rPr>
            </m:ctrlPr>
          </m:e>
          <m:sub>
            <m:r>
              <m:rPr/>
              <w:rPr>
                <w:rFonts w:hint="default" w:ascii="Cambria Math" w:hAnsi="Cambria Math"/>
              </w:rPr>
              <m:t>i</m:t>
            </m:r>
            <m:ctrlPr>
              <w:rPr>
                <w:rFonts w:ascii="Cambria Math" w:hAnsi="Cambria Math"/>
                <w:i/>
                <w:iCs/>
              </w:rPr>
            </m:ctrlPr>
          </m:sub>
        </m:sSub>
        <m:r>
          <m:rPr/>
          <w:rPr>
            <w:rFonts w:ascii="Cambria Math" w:hAnsi="Cambria Math"/>
          </w:rPr>
          <m:t>)</m:t>
        </m:r>
      </m:oMath>
      <w:r>
        <w:rPr>
          <w:rFonts w:hint="eastAsia"/>
        </w:rPr>
        <w:t>和</w:t>
      </w:r>
      <m:oMath>
        <m:r>
          <m:rPr/>
          <w:rPr>
            <w:rFonts w:ascii="Cambria Math" w:hAnsi="Cambria Math"/>
          </w:rPr>
          <m:t>(</m:t>
        </m:r>
        <m:sSub>
          <m:sSubPr>
            <m:ctrlPr>
              <w:rPr>
                <w:rFonts w:ascii="Cambria Math" w:hAnsi="Cambria Math"/>
                <w:i/>
                <w:iCs/>
              </w:rPr>
            </m:ctrlPr>
          </m:sSubPr>
          <m:e>
            <m:r>
              <m:rPr/>
              <w:rPr>
                <w:rFonts w:hint="default" w:ascii="Cambria Math" w:hAnsi="Cambria Math"/>
              </w:rPr>
              <m:t>x</m:t>
            </m:r>
            <m:ctrlPr>
              <w:rPr>
                <w:rFonts w:ascii="Cambria Math" w:hAnsi="Cambria Math"/>
                <w:i/>
                <w:iCs/>
              </w:rPr>
            </m:ctrlPr>
          </m:e>
          <m:sub>
            <m:r>
              <m:rPr/>
              <w:rPr>
                <w:rFonts w:hint="default" w:ascii="Cambria Math" w:hAnsi="Cambria Math"/>
              </w:rPr>
              <m:t>j</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hint="default" w:ascii="Cambria Math" w:hAnsi="Cambria Math"/>
              </w:rPr>
              <m:t>y</m:t>
            </m:r>
            <m:ctrlPr>
              <w:rPr>
                <w:rFonts w:ascii="Cambria Math" w:hAnsi="Cambria Math"/>
                <w:i/>
                <w:iCs/>
              </w:rPr>
            </m:ctrlPr>
          </m:e>
          <m:sub>
            <m:r>
              <m:rPr/>
              <w:rPr>
                <w:rFonts w:hint="default" w:ascii="Cambria Math" w:hAnsi="Cambria Math"/>
              </w:rPr>
              <m:t>j</m:t>
            </m:r>
            <m:ctrlPr>
              <w:rPr>
                <w:rFonts w:ascii="Cambria Math" w:hAnsi="Cambria Math"/>
                <w:i/>
                <w:iCs/>
              </w:rPr>
            </m:ctrlPr>
          </m:sub>
        </m:sSub>
        <m:r>
          <m:rPr/>
          <w:rPr>
            <w:rFonts w:ascii="Cambria Math" w:hAnsi="Cambria Math"/>
          </w:rPr>
          <m:t>)</m:t>
        </m:r>
      </m:oMath>
      <w:r>
        <w:rPr>
          <w:rFonts w:hint="eastAsia"/>
        </w:rPr>
        <w:t>，Mixup按如下方式生成新的虚拟训练样本：</w:t>
      </w:r>
    </w:p>
    <w:p w14:paraId="4E0AFEC0">
      <w:pPr>
        <w:pStyle w:val="44"/>
        <w:keepNext w:val="0"/>
        <w:keepLines w:val="0"/>
        <w:pageBreakBefore w:val="0"/>
        <w:widowControl w:val="0"/>
        <w:kinsoku/>
        <w:wordWrap/>
        <w:overflowPunct/>
        <w:topLinePunct w:val="0"/>
        <w:autoSpaceDE w:val="0"/>
        <w:autoSpaceDN w:val="0"/>
        <w:bidi w:val="0"/>
        <w:adjustRightInd w:val="0"/>
        <w:snapToGrid/>
        <w:spacing w:before="120" w:beforeLines="50" w:after="120" w:afterLines="50"/>
        <w:textAlignment w:val="auto"/>
        <w:rPr>
          <w:rFonts w:hint="default" w:cs="Cambria Math"/>
          <w:i/>
          <w:iCs w:val="0"/>
          <w:lang w:val="en-US" w:eastAsia="zh-CN"/>
        </w:rPr>
      </w:pPr>
      <m:oMathPara>
        <m:oMath>
          <m:eqArr>
            <m:eqArrPr>
              <m:maxDist m:val="1"/>
              <m:ctrlPr>
                <w:rPr>
                  <w:rFonts w:hint="default" w:cs="Cambria Math"/>
                  <w:i/>
                  <w:iCs w:val="0"/>
                  <w:lang w:val="en-US" w:eastAsia="zh-CN"/>
                </w:rPr>
              </m:ctrlPr>
            </m:eqArrPr>
            <m:e>
              <m:r>
                <m:rPr/>
                <w:rPr>
                  <w:rFonts w:hint="default" w:ascii="Cambria Math" w:hAnsi="Cambria Math" w:cs="Cambria Math"/>
                </w:rPr>
                <m:t>x̃=λ·</m:t>
              </m:r>
              <m:sSub>
                <m:sSubPr>
                  <m:ctrlPr>
                    <w:rPr>
                      <w:rFonts w:hint="default" w:ascii="Cambria Math" w:hAnsi="Cambria Math" w:cs="Cambria Math"/>
                      <w:i/>
                      <w:iCs w:val="0"/>
                    </w:rPr>
                  </m:ctrlPr>
                </m:sSubPr>
                <m:e>
                  <m:r>
                    <m:rPr/>
                    <w:rPr>
                      <w:rFonts w:hint="default" w:ascii="Cambria Math" w:hAnsi="Cambria Math" w:cs="Cambria Math"/>
                    </w:rPr>
                    <m:t>x</m:t>
                  </m:r>
                  <m:ctrlPr>
                    <w:rPr>
                      <w:rFonts w:hint="default" w:ascii="Cambria Math" w:hAnsi="Cambria Math" w:cs="Cambria Math"/>
                      <w:i/>
                      <w:iCs w:val="0"/>
                    </w:rPr>
                  </m:ctrlPr>
                </m:e>
                <m:sub>
                  <m:r>
                    <m:rPr/>
                    <w:rPr>
                      <w:rFonts w:hint="default" w:ascii="Cambria Math" w:hAnsi="Cambria Math" w:cs="Cambria Math"/>
                    </w:rPr>
                    <m:t>i</m:t>
                  </m:r>
                  <m:ctrlPr>
                    <w:rPr>
                      <w:rFonts w:hint="default" w:ascii="Cambria Math" w:hAnsi="Cambria Math" w:cs="Cambria Math"/>
                      <w:i/>
                      <w:iCs w:val="0"/>
                    </w:rPr>
                  </m:ctrlPr>
                </m:sub>
              </m:sSub>
              <m:r>
                <m:rPr/>
                <w:rPr>
                  <w:rFonts w:hint="default" w:ascii="Cambria Math" w:hAnsi="Cambria Math" w:cs="Cambria Math"/>
                </w:rPr>
                <m:t>+(1−λ)·</m:t>
              </m:r>
              <m:sSub>
                <m:sSubPr>
                  <m:ctrlPr>
                    <w:rPr>
                      <w:rFonts w:hint="default" w:ascii="Cambria Math" w:hAnsi="Cambria Math" w:cs="Cambria Math"/>
                      <w:i/>
                      <w:iCs w:val="0"/>
                    </w:rPr>
                  </m:ctrlPr>
                </m:sSubPr>
                <m:e>
                  <m:r>
                    <m:rPr/>
                    <w:rPr>
                      <w:rFonts w:hint="default" w:ascii="Cambria Math" w:hAnsi="Cambria Math" w:cs="Cambria Math"/>
                    </w:rPr>
                    <m:t>x</m:t>
                  </m:r>
                  <m:ctrlPr>
                    <w:rPr>
                      <w:rFonts w:hint="default" w:ascii="Cambria Math" w:hAnsi="Cambria Math" w:cs="Cambria Math"/>
                      <w:i/>
                      <w:iCs w:val="0"/>
                    </w:rPr>
                  </m:ctrlPr>
                </m:e>
                <m:sub>
                  <m:r>
                    <m:rPr/>
                    <w:rPr>
                      <w:rFonts w:hint="default" w:ascii="Cambria Math" w:hAnsi="Cambria Math" w:cs="Cambria Math"/>
                    </w:rPr>
                    <m:t>j</m:t>
                  </m:r>
                  <m:ctrlPr>
                    <w:rPr>
                      <w:rFonts w:hint="default" w:ascii="Cambria Math" w:hAnsi="Cambria Math" w:cs="Cambria Math"/>
                      <w:i/>
                      <w:iCs w:val="0"/>
                    </w:rPr>
                  </m:ctrlPr>
                </m:sub>
              </m:sSub>
              <m:r>
                <m:rPr>
                  <m:sty m:val="p"/>
                </m:rPr>
                <w:rPr>
                  <w:rFonts w:hint="default" w:cs="Cambria Math"/>
                  <w:lang w:val="en-US" w:eastAsia="zh-CN"/>
                </w:rPr>
                <m:t>#</m:t>
              </m:r>
              <m:r>
                <m:rPr>
                  <m:sty m:val="p"/>
                </m:rPr>
                <w:rPr>
                  <w:rFonts w:hint="eastAsia" w:cs="Cambria Math"/>
                  <w:lang w:val="en-US" w:eastAsia="zh-CN"/>
                </w:rPr>
                <m:t>公式（</m:t>
              </m:r>
              <m:r>
                <m:rPr>
                  <m:nor/>
                  <m:sty m:val="p"/>
                </m:rPr>
                <w:rPr>
                  <w:rFonts w:hint="default" w:ascii="Times New Roman" w:hAnsi="Times New Roman" w:cs="Times New Roman"/>
                  <w:b w:val="0"/>
                  <w:i w:val="0"/>
                  <w:lang w:val="en-US" w:eastAsia="zh-CN"/>
                </w:rPr>
                <m:t>3-3</m:t>
              </m:r>
              <m:r>
                <m:rPr>
                  <m:sty m:val="p"/>
                </m:rPr>
                <w:rPr>
                  <w:rFonts w:hint="eastAsia" w:cs="Cambria Math"/>
                  <w:lang w:val="en-US" w:eastAsia="zh-CN"/>
                </w:rPr>
                <m:t>）</m:t>
              </m:r>
              <m:ctrlPr>
                <w:rPr>
                  <w:rFonts w:hint="default" w:cs="Cambria Math"/>
                  <w:i/>
                  <w:iCs w:val="0"/>
                  <w:lang w:val="en-US" w:eastAsia="zh-CN"/>
                </w:rPr>
              </m:ctrlPr>
            </m:e>
          </m:eqArr>
        </m:oMath>
      </m:oMathPara>
    </w:p>
    <w:p w14:paraId="1295A596">
      <w:pPr>
        <w:pStyle w:val="44"/>
        <w:keepNext w:val="0"/>
        <w:keepLines w:val="0"/>
        <w:pageBreakBefore w:val="0"/>
        <w:widowControl w:val="0"/>
        <w:kinsoku/>
        <w:wordWrap/>
        <w:overflowPunct/>
        <w:topLinePunct w:val="0"/>
        <w:autoSpaceDE w:val="0"/>
        <w:autoSpaceDN w:val="0"/>
        <w:bidi w:val="0"/>
        <w:adjustRightInd w:val="0"/>
        <w:snapToGrid/>
        <w:spacing w:before="120" w:beforeLines="50" w:after="120" w:afterLines="50"/>
        <w:textAlignment w:val="auto"/>
        <w:rPr>
          <w:rFonts w:hint="default" w:cs="Cambria Math"/>
          <w:i/>
          <w:iCs w:val="0"/>
          <w:lang w:val="en-US" w:eastAsia="zh-CN"/>
        </w:rPr>
      </w:pPr>
      <m:oMathPara>
        <m:oMath>
          <m:eqArr>
            <m:eqArrPr>
              <m:maxDist m:val="1"/>
              <m:ctrlPr>
                <w:rPr>
                  <w:rFonts w:hint="default" w:cs="Cambria Math"/>
                  <w:i/>
                  <w:iCs w:val="0"/>
                  <w:lang w:val="en-US" w:eastAsia="zh-CN"/>
                </w:rPr>
              </m:ctrlPr>
            </m:eqArrPr>
            <m:e>
              <m:r>
                <m:rPr/>
                <w:rPr>
                  <w:rFonts w:hint="default" w:ascii="Cambria Math" w:hAnsi="Cambria Math" w:cs="Cambria Math"/>
                </w:rPr>
                <m:t>ỹ=λ·</m:t>
              </m:r>
              <m:sSub>
                <m:sSubPr>
                  <m:ctrlPr>
                    <w:rPr>
                      <w:rFonts w:hint="default" w:ascii="Cambria Math" w:hAnsi="Cambria Math" w:cs="Cambria Math"/>
                      <w:i/>
                      <w:iCs w:val="0"/>
                    </w:rPr>
                  </m:ctrlPr>
                </m:sSubPr>
                <m:e>
                  <m:r>
                    <m:rPr/>
                    <w:rPr>
                      <w:rFonts w:hint="default" w:ascii="Cambria Math" w:hAnsi="Cambria Math" w:cs="Cambria Math"/>
                    </w:rPr>
                    <m:t>y</m:t>
                  </m:r>
                  <m:ctrlPr>
                    <w:rPr>
                      <w:rFonts w:hint="default" w:ascii="Cambria Math" w:hAnsi="Cambria Math" w:cs="Cambria Math"/>
                      <w:i/>
                      <w:iCs w:val="0"/>
                    </w:rPr>
                  </m:ctrlPr>
                </m:e>
                <m:sub>
                  <m:r>
                    <m:rPr/>
                    <w:rPr>
                      <w:rFonts w:hint="default" w:ascii="Cambria Math" w:hAnsi="Cambria Math" w:cs="Cambria Math"/>
                    </w:rPr>
                    <m:t>i</m:t>
                  </m:r>
                  <m:ctrlPr>
                    <w:rPr>
                      <w:rFonts w:hint="default" w:ascii="Cambria Math" w:hAnsi="Cambria Math" w:cs="Cambria Math"/>
                      <w:i/>
                      <w:iCs w:val="0"/>
                    </w:rPr>
                  </m:ctrlPr>
                </m:sub>
              </m:sSub>
              <m:r>
                <m:rPr/>
                <w:rPr>
                  <w:rFonts w:hint="default" w:ascii="Cambria Math" w:hAnsi="Cambria Math" w:cs="Cambria Math"/>
                </w:rPr>
                <m:t>+(1−λ)·</m:t>
              </m:r>
              <m:sSub>
                <m:sSubPr>
                  <m:ctrlPr>
                    <w:rPr>
                      <w:rFonts w:hint="default" w:ascii="Cambria Math" w:hAnsi="Cambria Math" w:cs="Cambria Math"/>
                      <w:i/>
                      <w:iCs w:val="0"/>
                    </w:rPr>
                  </m:ctrlPr>
                </m:sSubPr>
                <m:e>
                  <m:r>
                    <m:rPr/>
                    <w:rPr>
                      <w:rFonts w:hint="default" w:ascii="Cambria Math" w:hAnsi="Cambria Math" w:cs="Cambria Math"/>
                    </w:rPr>
                    <m:t>y</m:t>
                  </m:r>
                  <m:ctrlPr>
                    <w:rPr>
                      <w:rFonts w:hint="default" w:ascii="Cambria Math" w:hAnsi="Cambria Math" w:cs="Cambria Math"/>
                      <w:i/>
                      <w:iCs w:val="0"/>
                    </w:rPr>
                  </m:ctrlPr>
                </m:e>
                <m:sub>
                  <m:r>
                    <m:rPr/>
                    <w:rPr>
                      <w:rFonts w:hint="default" w:ascii="Cambria Math" w:hAnsi="Cambria Math" w:cs="Cambria Math"/>
                    </w:rPr>
                    <m:t>j</m:t>
                  </m:r>
                  <m:ctrlPr>
                    <w:rPr>
                      <w:rFonts w:hint="default" w:ascii="Cambria Math" w:hAnsi="Cambria Math" w:cs="Cambria Math"/>
                      <w:i/>
                      <w:iCs w:val="0"/>
                    </w:rPr>
                  </m:ctrlPr>
                </m:sub>
              </m:sSub>
              <m:r>
                <m:rPr>
                  <m:sty m:val="p"/>
                </m:rPr>
                <w:rPr>
                  <w:rFonts w:hint="default" w:cs="Cambria Math"/>
                  <w:lang w:val="en-US" w:eastAsia="zh-CN"/>
                </w:rPr>
                <m:t>#</m:t>
              </m:r>
              <m:r>
                <m:rPr>
                  <m:sty m:val="p"/>
                </m:rPr>
                <w:rPr>
                  <w:rFonts w:hint="eastAsia" w:cs="Cambria Math"/>
                  <w:lang w:val="en-US" w:eastAsia="zh-CN"/>
                </w:rPr>
                <m:t>公式（</m:t>
              </m:r>
              <m:r>
                <m:rPr>
                  <m:nor/>
                  <m:sty m:val="p"/>
                </m:rPr>
                <w:rPr>
                  <w:rFonts w:hint="default" w:ascii="Times New Roman" w:hAnsi="Times New Roman" w:cs="Times New Roman"/>
                  <w:b w:val="0"/>
                  <w:i w:val="0"/>
                  <w:lang w:val="en-US" w:eastAsia="zh-CN"/>
                </w:rPr>
                <m:t>3-4</m:t>
              </m:r>
              <m:r>
                <m:rPr>
                  <m:sty m:val="p"/>
                </m:rPr>
                <w:rPr>
                  <w:rFonts w:hint="eastAsia" w:cs="Cambria Math"/>
                  <w:lang w:val="en-US" w:eastAsia="zh-CN"/>
                </w:rPr>
                <m:t>）</m:t>
              </m:r>
              <m:ctrlPr>
                <w:rPr>
                  <w:rFonts w:hint="default" w:cs="Cambria Math"/>
                  <w:i/>
                  <w:iCs w:val="0"/>
                  <w:lang w:val="en-US" w:eastAsia="zh-CN"/>
                </w:rPr>
              </m:ctrlPr>
            </m:e>
          </m:eqArr>
        </m:oMath>
      </m:oMathPara>
    </w:p>
    <w:p w14:paraId="62A5A3CD">
      <w:pPr>
        <w:rPr>
          <w:rFonts w:hint="eastAsia"/>
        </w:rPr>
      </w:pPr>
      <w:r>
        <w:rPr>
          <w:rFonts w:hint="eastAsia"/>
        </w:rPr>
        <w:t>其中</w:t>
      </w:r>
      <m:oMath>
        <m:r>
          <m:rPr/>
          <w:rPr>
            <w:rFonts w:hint="default" w:ascii="Cambria Math" w:hAnsi="Cambria Math"/>
          </w:rPr>
          <m:t>λ</m:t>
        </m:r>
        <m:r>
          <m:rPr/>
          <w:rPr>
            <w:rFonts w:ascii="Cambria Math" w:hAnsi="Cambria Math"/>
            <w:lang w:val="en-US" w:eastAsia="zh-CN"/>
          </w:rPr>
          <m:t>~</m:t>
        </m:r>
        <m:r>
          <m:rPr/>
          <w:rPr>
            <w:rFonts w:hint="default" w:ascii="Cambria Math" w:hAnsi="Cambria Math"/>
          </w:rPr>
          <m:t>Beta(α,α)</m:t>
        </m:r>
      </m:oMath>
      <w:r>
        <w:rPr>
          <w:rFonts w:hint="eastAsia"/>
        </w:rPr>
        <w:t>，</w:t>
      </w:r>
      <m:oMath>
        <m:r>
          <m:rPr/>
          <w:rPr>
            <w:rFonts w:hint="default" w:ascii="Cambria Math" w:hAnsi="Cambria Math"/>
            <w:sz w:val="24"/>
          </w:rPr>
          <m:t>α</m:t>
        </m:r>
      </m:oMath>
      <w:r>
        <w:rPr>
          <w:rFonts w:hint="eastAsia"/>
        </w:rPr>
        <w:t>为超参数，在本文实验中设定为0.2。Mixup通过引入样本间的连续线性插值，迫使模型在训练样本之间学习平滑的预测边界，从而有效提升模型的泛化能力。</w:t>
      </w:r>
    </w:p>
    <w:p w14:paraId="57056A3F">
      <w:pPr>
        <w:rPr>
          <w:rFonts w:hint="eastAsia"/>
        </w:rPr>
      </w:pPr>
      <w:r>
        <w:rPr>
          <w:rFonts w:hint="eastAsia"/>
        </w:rPr>
        <w:t>在联邦学习场景下，Mixup在各客户端本地训练时独立应用，服务器端不涉及任何增强操作。每个客户端在每轮本地训练过程中，对其训练批次内的图像随机配对并执行Mixup操作，扩充本地有效训练样本</w:t>
      </w:r>
      <w:r>
        <w:rPr>
          <w:rFonts w:hint="eastAsia"/>
          <w:lang w:val="en-US" w:eastAsia="zh-CN"/>
        </w:rPr>
        <w:t>以</w:t>
      </w:r>
      <w:r>
        <w:rPr>
          <w:rFonts w:hint="eastAsia"/>
        </w:rPr>
        <w:t>缓解各客户端模型过拟合的风险。</w:t>
      </w:r>
    </w:p>
    <w:p w14:paraId="751EAC9A">
      <w:pPr>
        <w:pStyle w:val="3"/>
        <w:spacing w:before="240" w:beforeLines="100" w:after="120" w:afterLines="50"/>
        <w:ind w:firstLine="0"/>
      </w:pPr>
      <w:bookmarkStart w:id="94" w:name="_Toc9402_ai_ai"/>
      <w:bookmarkStart w:id="95" w:name="_Toc8536"/>
      <w:r>
        <w:rPr>
          <w:rFonts w:hint="eastAsia" w:ascii="Times New Roman" w:hAnsi="Times New Roman" w:eastAsia="黑体" w:cs="Times New Roman"/>
          <w:bCs/>
          <w:kern w:val="2"/>
          <w:sz w:val="30"/>
          <w:szCs w:val="32"/>
          <w:lang w:val="zh-CN" w:eastAsia="zh-CN" w:bidi="ar-SA"/>
        </w:rPr>
        <w:t>3.</w:t>
      </w:r>
      <w:r>
        <w:rPr>
          <w:rFonts w:hint="eastAsia" w:cs="Times New Roman"/>
          <w:bCs/>
          <w:kern w:val="2"/>
          <w:sz w:val="30"/>
          <w:szCs w:val="32"/>
          <w:lang w:val="en-US" w:eastAsia="zh-CN" w:bidi="ar-SA"/>
        </w:rPr>
        <w:t>4</w:t>
      </w:r>
      <w:r>
        <w:rPr>
          <w:rFonts w:hint="eastAsia" w:ascii="Times New Roman" w:hAnsi="Times New Roman" w:eastAsia="黑体" w:cs="Times New Roman"/>
          <w:bCs/>
          <w:kern w:val="2"/>
          <w:sz w:val="30"/>
          <w:szCs w:val="32"/>
          <w:lang w:val="zh-CN" w:eastAsia="zh-CN" w:bidi="ar-SA"/>
        </w:rPr>
        <w:t xml:space="preserve"> 本章小结</w:t>
      </w:r>
      <w:bookmarkEnd w:id="94"/>
      <w:bookmarkEnd w:id="95"/>
    </w:p>
    <w:p w14:paraId="2659BCDB">
      <w:pPr>
        <w:rPr>
          <w:lang w:val="zh-CN"/>
        </w:rPr>
      </w:pPr>
      <w:r>
        <w:rPr>
          <w:rFonts w:hint="eastAsia"/>
        </w:rPr>
        <w:t>本章从系统架构与方法设计两个层面对农作物图像识别协同训练系统进行了详细阐述。在系统架构层面，描述了联邦服务端与客户端的分工机制及整体通信训练流程。在模型设计层面，选取MobileNetV2与ResNet18作为轻量化主干网络，并针对</w:t>
      </w:r>
      <w:r>
        <w:rPr>
          <w:rFonts w:hint="eastAsia"/>
          <w:lang w:eastAsia="zh-CN"/>
        </w:rPr>
        <w:t>CIFAR-10</w:t>
      </w:r>
      <w:r>
        <w:rPr>
          <w:rFonts w:hint="eastAsia"/>
        </w:rPr>
        <w:t>与Crop两种输入尺寸对首层卷积结构进行了适配性调整。在训练策略层面，引入ImageNet预训练迁移机制解决了小样本联邦场景下收敛困难的问题，同时引入Mixup混合增强方法扩充本地有效训练样本的分布范围，缓解过拟合风险。在算法层面，设计了动态近端约束的改进联邦优化算法FedProx，使约束强度能够随训练进程自适应调整，有效缓解了Non-IID数据下的客户端漂移问题。上述设计共同构成了本文方法的完整技术框架，为下一章的实验验证提供了方法支撑。</w:t>
      </w:r>
    </w:p>
    <w:p w14:paraId="6D7EF50A">
      <w:pPr>
        <w:rPr>
          <w:lang w:val="zh-CN"/>
        </w:rPr>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p w14:paraId="55AE82E1">
      <w:pPr>
        <w:pStyle w:val="2"/>
        <w:spacing w:before="480" w:beforeLines="200" w:after="240" w:afterLines="100"/>
        <w:ind w:firstLine="0"/>
      </w:pPr>
      <w:bookmarkStart w:id="96" w:name="_Toc6031_ai"/>
      <w:bookmarkStart w:id="97" w:name="_Toc27223"/>
      <w:bookmarkStart w:id="98" w:name="_Toc223595399"/>
      <w:r>
        <w:rPr>
          <w:rFonts w:ascii="Times New Roman" w:hAnsi="Times New Roman" w:eastAsia="黑体" w:cs="Times New Roman"/>
          <w:kern w:val="2"/>
          <w:sz w:val="32"/>
          <w:szCs w:val="24"/>
          <w:lang w:val="zh-CN" w:eastAsia="zh-CN" w:bidi="ar-SA"/>
        </w:rPr>
        <w:t>第4章 实验与结果分析</w:t>
      </w:r>
      <w:bookmarkEnd w:id="96"/>
      <w:bookmarkEnd w:id="97"/>
    </w:p>
    <w:bookmarkEnd w:id="98"/>
    <w:p w14:paraId="4EADF76D">
      <w:pPr>
        <w:pStyle w:val="3"/>
        <w:spacing w:before="240" w:beforeLines="100" w:after="120" w:afterLines="50"/>
        <w:ind w:firstLine="0"/>
        <w:rPr>
          <w:rFonts w:hint="eastAsia" w:ascii="Times New Roman" w:hAnsi="Times New Roman" w:eastAsia="黑体" w:cs="Times New Roman"/>
          <w:bCs/>
          <w:kern w:val="2"/>
          <w:sz w:val="30"/>
          <w:szCs w:val="32"/>
          <w:lang w:val="zh-CN" w:eastAsia="zh-CN" w:bidi="ar-SA"/>
        </w:rPr>
      </w:pPr>
      <w:bookmarkStart w:id="99" w:name="_Toc223595399_ai_ai"/>
      <w:bookmarkStart w:id="100" w:name="_Toc16051_ai_ai"/>
      <w:bookmarkStart w:id="101" w:name="_Toc390"/>
      <w:bookmarkStart w:id="102" w:name="_Toc5712_ai"/>
      <w:r>
        <w:rPr>
          <w:rFonts w:hint="eastAsia" w:ascii="Times New Roman" w:hAnsi="Times New Roman" w:eastAsia="黑体" w:cs="Times New Roman"/>
          <w:bCs/>
          <w:kern w:val="2"/>
          <w:sz w:val="30"/>
          <w:szCs w:val="32"/>
          <w:lang w:val="zh-CN" w:eastAsia="zh-CN" w:bidi="ar-SA"/>
        </w:rPr>
        <w:t>4.1</w:t>
      </w:r>
      <w:bookmarkEnd w:id="99"/>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实验环境与数据集配置</w:t>
      </w:r>
      <w:bookmarkEnd w:id="100"/>
      <w:bookmarkEnd w:id="101"/>
      <w:bookmarkEnd w:id="102"/>
    </w:p>
    <w:p w14:paraId="497B9AD3">
      <w:pPr>
        <w:pStyle w:val="4"/>
        <w:tabs>
          <w:tab w:val="clear" w:pos="561"/>
          <w:tab w:val="clear" w:pos="720"/>
        </w:tabs>
        <w:overflowPunct/>
        <w:spacing w:before="120" w:beforeLines="50"/>
        <w:ind w:firstLine="0"/>
        <w:jc w:val="both"/>
      </w:pPr>
      <w:bookmarkStart w:id="103" w:name="_Toc7465"/>
      <w:bookmarkStart w:id="104" w:name="_Toc1166_ai"/>
      <w:r>
        <w:rPr>
          <w:rFonts w:hint="eastAsia" w:ascii="Times New Roman" w:hAnsi="Times New Roman" w:eastAsia="黑体" w:cs="Times New Roman"/>
          <w:kern w:val="2"/>
          <w:sz w:val="28"/>
          <w:szCs w:val="20"/>
          <w:lang w:val="zh-CN" w:eastAsia="zh-CN" w:bidi="ar-SA"/>
        </w:rPr>
        <w:t>4.1.</w:t>
      </w:r>
      <w:r>
        <w:rPr>
          <w:rFonts w:hint="eastAsia" w:cs="Times New Roman"/>
          <w:kern w:val="2"/>
          <w:sz w:val="28"/>
          <w:szCs w:val="20"/>
          <w:lang w:val="en-US" w:eastAsia="zh-CN" w:bidi="ar-SA"/>
        </w:rPr>
        <w:t>1</w:t>
      </w:r>
      <w:r>
        <w:rPr>
          <w:rFonts w:hint="eastAsia" w:ascii="Times New Roman" w:hAnsi="Times New Roman" w:eastAsia="黑体" w:cs="Times New Roman"/>
          <w:kern w:val="2"/>
          <w:sz w:val="28"/>
          <w:szCs w:val="20"/>
          <w:lang w:val="zh-CN" w:eastAsia="zh-CN" w:bidi="ar-SA"/>
        </w:rPr>
        <w:t xml:space="preserve"> 数据集配置</w:t>
      </w:r>
      <w:bookmarkEnd w:id="103"/>
      <w:bookmarkEnd w:id="104"/>
    </w:p>
    <w:p w14:paraId="75F0BBBF">
      <w:pPr>
        <w:rPr>
          <w:rFonts w:hint="eastAsia"/>
          <w:szCs w:val="21"/>
        </w:rPr>
      </w:pPr>
      <w:r>
        <w:rPr>
          <w:rFonts w:hint="eastAsia"/>
          <w:szCs w:val="21"/>
          <w:lang w:val="en-US" w:eastAsia="zh-CN"/>
        </w:rPr>
        <w:t>算法</w:t>
      </w:r>
      <w:r>
        <w:rPr>
          <w:rFonts w:hint="eastAsia"/>
          <w:szCs w:val="21"/>
        </w:rPr>
        <w:t>验证数据集（</w:t>
      </w:r>
      <w:r>
        <w:rPr>
          <w:rFonts w:hint="eastAsia"/>
          <w:szCs w:val="21"/>
          <w:lang w:eastAsia="zh-CN"/>
        </w:rPr>
        <w:t>CIFAR-10</w:t>
      </w:r>
      <w:r>
        <w:rPr>
          <w:rFonts w:hint="eastAsia"/>
          <w:szCs w:val="21"/>
        </w:rPr>
        <w:t>）：</w:t>
      </w:r>
      <w:r>
        <w:rPr>
          <w:rFonts w:hint="eastAsia"/>
          <w:szCs w:val="21"/>
          <w:lang w:eastAsia="zh-CN"/>
        </w:rPr>
        <w:t>CIFAR-10</w:t>
      </w:r>
      <w:r>
        <w:rPr>
          <w:rFonts w:hint="eastAsia"/>
          <w:szCs w:val="21"/>
        </w:rPr>
        <w:t>是联邦学习算法研究中广泛采用的标准图像分类基准数据集，包含10个类别共60000张32×32像素的彩色图像，其中50000张用于训练，10000张用于测试</w:t>
      </w:r>
      <w:r>
        <w:rPr>
          <w:rFonts w:hint="eastAsia"/>
          <w:szCs w:val="21"/>
          <w:lang w:eastAsia="zh-CN"/>
        </w:rPr>
        <w:t>（</w:t>
      </w:r>
      <w:r>
        <w:rPr>
          <w:rFonts w:hint="eastAsia"/>
          <w:szCs w:val="21"/>
        </w:rPr>
        <w:t>Krizhevsky, 2009</w:t>
      </w:r>
      <w:r>
        <w:rPr>
          <w:rFonts w:hint="eastAsia"/>
          <w:szCs w:val="21"/>
          <w:lang w:eastAsia="zh-CN"/>
        </w:rPr>
        <w:t>）</w:t>
      </w:r>
      <w:r>
        <w:rPr>
          <w:rFonts w:hint="eastAsia"/>
          <w:szCs w:val="21"/>
        </w:rPr>
        <w:t>。在联邦训练配置中，训练集依据Dirichlet分布（</w:t>
      </w:r>
      <m:oMath>
        <m:r>
          <m:rPr/>
          <w:rPr>
            <w:rFonts w:hint="default" w:ascii="Cambria Math" w:hAnsi="Cambria Math"/>
            <w:sz w:val="24"/>
          </w:rPr>
          <m:t>α</m:t>
        </m:r>
      </m:oMath>
      <w:r>
        <w:rPr>
          <w:rFonts w:hint="eastAsia"/>
          <w:szCs w:val="21"/>
        </w:rPr>
        <w:t>=</w:t>
      </w:r>
      <w:r>
        <w:rPr>
          <w:rFonts w:hint="eastAsia"/>
          <w:szCs w:val="21"/>
          <w:lang w:val="en-US" w:eastAsia="zh-CN"/>
        </w:rPr>
        <w:t>1</w:t>
      </w:r>
      <w:r>
        <w:rPr>
          <w:rFonts w:hint="eastAsia"/>
          <w:szCs w:val="21"/>
        </w:rPr>
        <w:t>）划分至各客户端，以模拟实际场景中的Non-IID数据分布特征，确保消融实验在可控的异构条件下进行。</w:t>
      </w:r>
    </w:p>
    <w:p w14:paraId="37EB20FF">
      <w:pPr>
        <w:rPr>
          <w:rFonts w:hint="eastAsia"/>
          <w:szCs w:val="21"/>
        </w:rPr>
      </w:pPr>
      <w:r>
        <w:rPr>
          <w:rFonts w:hint="eastAsia"/>
          <w:szCs w:val="21"/>
        </w:rPr>
        <w:t>目标应用数据集（Crop）：农作物图像数据集由网络搜集整理的小麦、玉米、水稻三类农作物图像构成，每类包含1000张图像，图像分辨率统一调整为224×224像素。数据集按约3:1比例划分为训练集（2245张）与测试集（755张），转换为NPZ格式后，以与</w:t>
      </w:r>
      <w:r>
        <w:rPr>
          <w:rFonts w:hint="eastAsia"/>
          <w:szCs w:val="21"/>
          <w:lang w:eastAsia="zh-CN"/>
        </w:rPr>
        <w:t>CIFAR-10</w:t>
      </w:r>
      <w:r>
        <w:rPr>
          <w:rFonts w:hint="eastAsia"/>
          <w:szCs w:val="21"/>
        </w:rPr>
        <w:t>相同的Non-IID分布策略分配至各客户端，以模拟不同农业生产主体持有不同类别作物数据的实际场景。</w:t>
      </w:r>
    </w:p>
    <w:p w14:paraId="33BD3451">
      <w:pPr>
        <w:rPr>
          <w:rFonts w:hint="default" w:eastAsia="宋体"/>
          <w:szCs w:val="21"/>
          <w:lang w:val="en-US" w:eastAsia="zh-CN"/>
        </w:rPr>
      </w:pPr>
      <w:r>
        <w:rPr>
          <w:rFonts w:ascii="Times New Roman" w:hAnsi="Times New Roman" w:eastAsia="宋体" w:cs="Times New Roman"/>
          <w:szCs w:val="21"/>
          <w:lang w:val="en-US" w:eastAsia="zh-CN"/>
        </w:rPr>
        <w:t>扩展泛化集：为评估模型对未见数据源的跨域泛化能力，通过网络爬取方式额外收集小麦、玉米、水稻三类农作物图像各100张，共300张，图像分辨率</w:t>
      </w:r>
      <w:r>
        <w:rPr>
          <w:rFonts w:hint="eastAsia" w:cs="Times New Roman"/>
          <w:szCs w:val="21"/>
          <w:lang w:val="en-US" w:eastAsia="zh-CN"/>
        </w:rPr>
        <w:t>大小不一，包含JPG和PNG等常见图片格式，模仿真实拍摄的农作物图像异构情况</w:t>
      </w:r>
      <w:r>
        <w:rPr>
          <w:rFonts w:ascii="Times New Roman" w:hAnsi="Times New Roman" w:eastAsia="宋体" w:cs="Times New Roman"/>
          <w:szCs w:val="21"/>
          <w:lang w:val="en-US" w:eastAsia="zh-CN"/>
        </w:rPr>
        <w:t>。该数据集与训练集来源不同，用于测试模型在真实多样化场景下的</w:t>
      </w:r>
      <w:r>
        <w:rPr>
          <w:rFonts w:hint="eastAsia" w:cs="Times New Roman"/>
          <w:szCs w:val="21"/>
          <w:lang w:val="en-US" w:eastAsia="zh-CN"/>
        </w:rPr>
        <w:t>泛化性</w:t>
      </w:r>
      <w:r>
        <w:rPr>
          <w:rFonts w:ascii="Times New Roman" w:hAnsi="Times New Roman" w:eastAsia="宋体" w:cs="Times New Roman"/>
          <w:szCs w:val="21"/>
          <w:lang w:val="en-US" w:eastAsia="zh-CN"/>
        </w:rPr>
        <w:t>，不参与训练过程。</w:t>
      </w:r>
    </w:p>
    <w:p w14:paraId="3CF3F84F">
      <w:pPr>
        <w:pStyle w:val="4"/>
        <w:tabs>
          <w:tab w:val="clear" w:pos="561"/>
          <w:tab w:val="clear" w:pos="720"/>
        </w:tabs>
        <w:overflowPunct/>
        <w:spacing w:before="120" w:beforeLines="50"/>
        <w:ind w:firstLine="0"/>
        <w:jc w:val="both"/>
      </w:pPr>
      <w:bookmarkStart w:id="105" w:name="_Toc16282"/>
      <w:r>
        <w:rPr>
          <w:rFonts w:hint="eastAsia" w:ascii="Times New Roman" w:hAnsi="Times New Roman" w:eastAsia="黑体" w:cs="Times New Roman"/>
          <w:kern w:val="2"/>
          <w:sz w:val="28"/>
          <w:szCs w:val="20"/>
          <w:lang w:val="zh-CN" w:eastAsia="zh-CN" w:bidi="ar-SA"/>
        </w:rPr>
        <w:t>4.1.</w:t>
      </w:r>
      <w:r>
        <w:rPr>
          <w:rFonts w:hint="eastAsia" w:cs="Times New Roman"/>
          <w:kern w:val="2"/>
          <w:sz w:val="28"/>
          <w:szCs w:val="20"/>
          <w:lang w:val="en-US" w:eastAsia="zh-CN" w:bidi="ar-SA"/>
        </w:rPr>
        <w:t>2</w:t>
      </w:r>
      <w:r>
        <w:rPr>
          <w:rFonts w:hint="eastAsia" w:ascii="Times New Roman" w:hAnsi="Times New Roman" w:eastAsia="黑体" w:cs="Times New Roman"/>
          <w:kern w:val="2"/>
          <w:sz w:val="28"/>
          <w:szCs w:val="20"/>
          <w:lang w:val="zh-CN" w:eastAsia="zh-CN" w:bidi="ar-SA"/>
        </w:rPr>
        <w:t xml:space="preserve"> 实验环境</w:t>
      </w:r>
      <w:r>
        <w:rPr>
          <w:rFonts w:hint="eastAsia" w:cs="Times New Roman"/>
          <w:kern w:val="2"/>
          <w:sz w:val="28"/>
          <w:szCs w:val="20"/>
          <w:lang w:val="en-US" w:eastAsia="zh-CN" w:bidi="ar-SA"/>
        </w:rPr>
        <w:t>及训练</w:t>
      </w:r>
      <w:r>
        <w:rPr>
          <w:rFonts w:hint="eastAsia" w:ascii="Times New Roman" w:hAnsi="Times New Roman" w:eastAsia="黑体" w:cs="Times New Roman"/>
          <w:kern w:val="2"/>
          <w:sz w:val="28"/>
          <w:szCs w:val="20"/>
          <w:lang w:val="zh-CN" w:eastAsia="zh-CN" w:bidi="ar-SA"/>
        </w:rPr>
        <w:t>参数</w:t>
      </w:r>
      <w:bookmarkEnd w:id="105"/>
    </w:p>
    <w:p w14:paraId="19A73D63">
      <w:pPr>
        <w:rPr>
          <w:rFonts w:hint="eastAsia"/>
          <w:szCs w:val="21"/>
        </w:rPr>
      </w:pPr>
      <w:r>
        <w:rPr>
          <w:rFonts w:hint="eastAsia"/>
          <w:szCs w:val="21"/>
        </w:rPr>
        <w:t xml:space="preserve">本文实验在配备NVIDIA </w:t>
      </w:r>
      <w:r>
        <w:rPr>
          <w:rFonts w:hint="eastAsia"/>
          <w:szCs w:val="21"/>
          <w:lang w:val="en-US" w:eastAsia="zh-CN"/>
        </w:rPr>
        <w:t>Tesla T4</w:t>
      </w:r>
      <w:r>
        <w:rPr>
          <w:rFonts w:hint="eastAsia"/>
          <w:szCs w:val="21"/>
        </w:rPr>
        <w:t xml:space="preserve">显卡的服务器平台上完成，操作系统为Ubuntu </w:t>
      </w:r>
      <w:r>
        <w:rPr>
          <w:rFonts w:hint="eastAsia"/>
          <w:szCs w:val="21"/>
          <w:lang w:val="en-US" w:eastAsia="zh-CN"/>
        </w:rPr>
        <w:t>18</w:t>
      </w:r>
      <w:r>
        <w:rPr>
          <w:rFonts w:hint="eastAsia"/>
          <w:szCs w:val="21"/>
        </w:rPr>
        <w:t xml:space="preserve">.04，深度学习框架采用PyTorch </w:t>
      </w:r>
      <w:r>
        <w:rPr>
          <w:rFonts w:hint="eastAsia"/>
          <w:szCs w:val="21"/>
          <w:lang w:val="en-US" w:eastAsia="zh-CN"/>
        </w:rPr>
        <w:t>2</w:t>
      </w:r>
      <w:r>
        <w:rPr>
          <w:rFonts w:hint="eastAsia"/>
          <w:szCs w:val="21"/>
        </w:rPr>
        <w:t>.</w:t>
      </w:r>
      <w:r>
        <w:rPr>
          <w:rFonts w:hint="eastAsia"/>
          <w:szCs w:val="21"/>
          <w:lang w:val="en-US" w:eastAsia="zh-CN"/>
        </w:rPr>
        <w:t>0</w:t>
      </w:r>
      <w:r>
        <w:rPr>
          <w:rFonts w:hint="eastAsia"/>
          <w:szCs w:val="21"/>
        </w:rPr>
        <w:t>.0，CUDA版本为11.</w:t>
      </w:r>
      <w:r>
        <w:rPr>
          <w:rFonts w:hint="eastAsia"/>
          <w:szCs w:val="21"/>
          <w:lang w:val="en-US" w:eastAsia="zh-CN"/>
        </w:rPr>
        <w:t>7</w:t>
      </w:r>
      <w:r>
        <w:rPr>
          <w:rFonts w:hint="eastAsia"/>
          <w:szCs w:val="21"/>
        </w:rPr>
        <w:t>，Python版本为3.</w:t>
      </w:r>
      <w:r>
        <w:rPr>
          <w:rFonts w:hint="eastAsia"/>
          <w:szCs w:val="21"/>
          <w:lang w:val="en-US" w:eastAsia="zh-CN"/>
        </w:rPr>
        <w:t>11</w:t>
      </w:r>
      <w:r>
        <w:rPr>
          <w:rFonts w:hint="eastAsia"/>
          <w:szCs w:val="21"/>
        </w:rPr>
        <w:t>。</w:t>
      </w:r>
    </w:p>
    <w:p w14:paraId="5915457D">
      <w:pPr>
        <w:rPr>
          <w:rFonts w:hint="eastAsia" w:eastAsia="宋体"/>
          <w:szCs w:val="21"/>
          <w:lang w:eastAsia="zh-CN"/>
        </w:rPr>
        <w:sectPr>
          <w:headerReference r:id="rId31" w:type="default"/>
          <w:headerReference r:id="rId32" w:type="even"/>
          <w:footerReference r:id="rId33" w:type="even"/>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r>
        <w:rPr>
          <w:rFonts w:hint="eastAsia"/>
          <w:szCs w:val="21"/>
        </w:rPr>
        <w:t>在</w:t>
      </w:r>
      <w:r>
        <w:rPr>
          <w:rFonts w:hint="eastAsia"/>
          <w:szCs w:val="21"/>
          <w:lang w:val="en-US" w:eastAsia="zh-CN"/>
        </w:rPr>
        <w:t>训练</w:t>
      </w:r>
      <w:r>
        <w:rPr>
          <w:rFonts w:hint="eastAsia"/>
          <w:szCs w:val="21"/>
        </w:rPr>
        <w:t>参数设置方面，由于</w:t>
      </w:r>
      <w:r>
        <w:rPr>
          <w:rFonts w:hint="eastAsia"/>
          <w:szCs w:val="21"/>
          <w:lang w:eastAsia="zh-CN"/>
        </w:rPr>
        <w:t>CIFAR-10</w:t>
      </w:r>
      <w:r>
        <w:rPr>
          <w:rFonts w:hint="eastAsia"/>
          <w:szCs w:val="21"/>
        </w:rPr>
        <w:t>和Crop两个数据集的特性存在差异，两者的学习率衰减策略分别经过实验调参确定。主要实验参数配置如表</w:t>
      </w:r>
      <w:r>
        <w:rPr>
          <w:rFonts w:hint="eastAsia"/>
          <w:szCs w:val="21"/>
          <w:lang w:val="en-US" w:eastAsia="zh-CN"/>
        </w:rPr>
        <w:t>4-1</w:t>
      </w:r>
      <w:r>
        <w:rPr>
          <w:rFonts w:hint="eastAsia"/>
          <w:szCs w:val="21"/>
        </w:rPr>
        <w:t>所示，</w:t>
      </w:r>
      <w:r>
        <w:rPr>
          <w:rFonts w:hint="eastAsia"/>
          <w:szCs w:val="21"/>
          <w:lang w:eastAsia="zh-CN"/>
        </w:rPr>
        <w:t>CIFAR-10</w:t>
      </w:r>
      <w:r>
        <w:rPr>
          <w:rFonts w:hint="eastAsia"/>
          <w:szCs w:val="21"/>
        </w:rPr>
        <w:t>采用较为激进的衰减策略（衰减系数0.2），而Crop采用更平缓的衰减策略（衰减系数0.5）。这是因为Crop数据集中</w:t>
      </w:r>
      <w:r>
        <w:rPr>
          <w:rFonts w:hint="eastAsia"/>
          <w:szCs w:val="21"/>
          <w:lang w:val="en-US" w:eastAsia="zh-CN"/>
        </w:rPr>
        <w:t>小麦与水稻</w:t>
      </w:r>
      <w:r>
        <w:rPr>
          <w:rFonts w:hint="eastAsia"/>
          <w:szCs w:val="21"/>
        </w:rPr>
        <w:t>之间的形态相似度较高，谷物在</w:t>
      </w:r>
      <w:r>
        <w:rPr>
          <w:rFonts w:hint="eastAsia"/>
          <w:szCs w:val="21"/>
          <w:lang w:val="en-US" w:eastAsia="zh-CN"/>
        </w:rPr>
        <w:t>成长期时</w:t>
      </w:r>
      <w:r>
        <w:rPr>
          <w:rFonts w:hint="eastAsia"/>
          <w:szCs w:val="21"/>
        </w:rPr>
        <w:t>颜色、纹理和形状上差异较小，需要更精细的特征区分能力。因此，Crop在训练</w:t>
      </w:r>
      <w:r>
        <w:rPr>
          <w:rFonts w:hint="eastAsia"/>
          <w:szCs w:val="21"/>
          <w:lang w:val="en-US" w:eastAsia="zh-CN"/>
        </w:rPr>
        <w:t>中期</w:t>
      </w:r>
      <w:r>
        <w:rPr>
          <w:rFonts w:hint="eastAsia"/>
          <w:szCs w:val="21"/>
        </w:rPr>
        <w:t>需要维持相对更大的学习率，以进一步微调模型参数，避免学习率衰减过快导致模型尚未充分学习这些细微差异就已收敛</w:t>
      </w:r>
      <w:r>
        <w:rPr>
          <w:rFonts w:hint="eastAsia"/>
          <w:szCs w:val="21"/>
          <w:lang w:eastAsia="zh-CN"/>
        </w:rPr>
        <w:t>。</w:t>
      </w:r>
    </w:p>
    <w:tbl>
      <w:tblPr>
        <w:tblStyle w:val="34"/>
        <w:tblpPr w:leftFromText="180" w:rightFromText="180" w:vertAnchor="text" w:horzAnchor="page" w:tblpX="1410" w:tblpY="633"/>
        <w:tblOverlap w:val="neve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984"/>
        <w:gridCol w:w="2985"/>
        <w:gridCol w:w="2987"/>
      </w:tblGrid>
      <w:tr w14:paraId="77D6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blHeader/>
        </w:trPr>
        <w:tc>
          <w:tcPr>
            <w:tcW w:w="1666" w:type="pct"/>
            <w:tcBorders>
              <w:top w:val="single" w:color="000000" w:sz="12" w:space="0"/>
              <w:left w:val="nil"/>
              <w:bottom w:val="single" w:color="000000" w:sz="4" w:space="0"/>
              <w:right w:val="nil"/>
              <w:tl2br w:val="nil"/>
            </w:tcBorders>
            <w:shd w:val="clear" w:color="auto" w:fill="FFFFFF"/>
            <w:tcMar>
              <w:top w:w="0" w:type="dxa"/>
              <w:left w:w="0" w:type="dxa"/>
              <w:bottom w:w="0" w:type="dxa"/>
              <w:right w:w="0" w:type="dxa"/>
            </w:tcMar>
            <w:vAlign w:val="center"/>
          </w:tcPr>
          <w:p w14:paraId="42CD1C1B">
            <w:pPr>
              <w:pStyle w:val="58"/>
              <w:bidi w:val="0"/>
              <w:rPr>
                <w:b w:val="0"/>
              </w:rPr>
            </w:pPr>
            <w:r>
              <w:rPr>
                <w:b w:val="0"/>
                <w:lang w:val="en-US" w:eastAsia="zh-CN"/>
              </w:rPr>
              <w:t>参数名称</w:t>
            </w:r>
          </w:p>
        </w:tc>
        <w:tc>
          <w:tcPr>
            <w:tcW w:w="1666" w:type="pct"/>
            <w:tcBorders>
              <w:top w:val="single" w:color="000000" w:sz="12" w:space="0"/>
              <w:left w:val="nil"/>
              <w:bottom w:val="single" w:color="000000" w:sz="4" w:space="0"/>
              <w:right w:val="nil"/>
            </w:tcBorders>
            <w:shd w:val="clear" w:color="auto" w:fill="FFFFFF"/>
            <w:tcMar>
              <w:top w:w="0" w:type="dxa"/>
              <w:left w:w="0" w:type="dxa"/>
              <w:bottom w:w="0" w:type="dxa"/>
              <w:right w:w="0" w:type="dxa"/>
            </w:tcMar>
            <w:vAlign w:val="center"/>
          </w:tcPr>
          <w:p w14:paraId="3FF878D3">
            <w:pPr>
              <w:pStyle w:val="58"/>
              <w:bidi w:val="0"/>
              <w:rPr>
                <w:b w:val="0"/>
              </w:rPr>
            </w:pPr>
            <w:r>
              <w:rPr>
                <w:rFonts w:hint="eastAsia"/>
                <w:b w:val="0"/>
                <w:lang w:val="en-US" w:eastAsia="zh-CN"/>
              </w:rPr>
              <w:t>CIFAR-10</w:t>
            </w:r>
            <w:r>
              <w:rPr>
                <w:b w:val="0"/>
                <w:lang w:val="en-US" w:eastAsia="zh-CN"/>
              </w:rPr>
              <w:t>取值</w:t>
            </w:r>
          </w:p>
        </w:tc>
        <w:tc>
          <w:tcPr>
            <w:tcW w:w="1667" w:type="pct"/>
            <w:tcBorders>
              <w:top w:val="single" w:color="000000" w:sz="12" w:space="0"/>
              <w:left w:val="nil"/>
              <w:bottom w:val="single" w:color="000000" w:sz="4" w:space="0"/>
              <w:right w:val="nil"/>
            </w:tcBorders>
            <w:shd w:val="clear" w:color="auto" w:fill="FFFFFF"/>
            <w:tcMar>
              <w:top w:w="0" w:type="dxa"/>
              <w:left w:w="0" w:type="dxa"/>
              <w:bottom w:w="0" w:type="dxa"/>
              <w:right w:w="0" w:type="dxa"/>
            </w:tcMar>
            <w:vAlign w:val="center"/>
          </w:tcPr>
          <w:p w14:paraId="25BAE0BE">
            <w:pPr>
              <w:pStyle w:val="58"/>
              <w:bidi w:val="0"/>
              <w:rPr>
                <w:b w:val="0"/>
                <w:lang w:val="en-US" w:eastAsia="zh-CN"/>
              </w:rPr>
            </w:pPr>
            <w:r>
              <w:rPr>
                <w:rFonts w:hint="eastAsia"/>
                <w:b w:val="0"/>
                <w:lang w:val="en-US" w:eastAsia="zh-CN"/>
              </w:rPr>
              <w:t>Crop取值</w:t>
            </w:r>
          </w:p>
        </w:tc>
      </w:tr>
      <w:tr w14:paraId="1A44F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single" w:color="000000" w:sz="4" w:space="0"/>
              <w:left w:val="nil"/>
              <w:bottom w:val="nil"/>
              <w:right w:val="nil"/>
            </w:tcBorders>
            <w:shd w:val="clear" w:color="auto" w:fill="FFFFFF"/>
            <w:tcMar>
              <w:top w:w="0" w:type="dxa"/>
              <w:left w:w="0" w:type="dxa"/>
              <w:bottom w:w="0" w:type="dxa"/>
              <w:right w:w="0" w:type="dxa"/>
            </w:tcMar>
            <w:vAlign w:val="center"/>
          </w:tcPr>
          <w:p w14:paraId="2BD89BE9">
            <w:pPr>
              <w:pStyle w:val="58"/>
              <w:bidi w:val="0"/>
              <w:rPr>
                <w:b w:val="0"/>
              </w:rPr>
            </w:pPr>
            <w:r>
              <w:rPr>
                <w:b w:val="0"/>
                <w:lang w:val="en-US" w:eastAsia="zh-CN"/>
              </w:rPr>
              <w:t>联邦客户端数量</w:t>
            </w:r>
          </w:p>
        </w:tc>
        <w:tc>
          <w:tcPr>
            <w:tcW w:w="1666" w:type="pct"/>
            <w:tcBorders>
              <w:top w:val="single" w:color="000000" w:sz="4" w:space="0"/>
              <w:left w:val="nil"/>
              <w:bottom w:val="nil"/>
              <w:right w:val="nil"/>
            </w:tcBorders>
            <w:shd w:val="clear" w:color="auto" w:fill="FFFFFF"/>
            <w:tcMar>
              <w:top w:w="0" w:type="dxa"/>
              <w:left w:w="0" w:type="dxa"/>
              <w:bottom w:w="0" w:type="dxa"/>
              <w:right w:w="0" w:type="dxa"/>
            </w:tcMar>
            <w:vAlign w:val="center"/>
          </w:tcPr>
          <w:p w14:paraId="7F40068F">
            <w:pPr>
              <w:pStyle w:val="58"/>
              <w:bidi w:val="0"/>
              <w:rPr>
                <w:b w:val="0"/>
                <w:lang w:val="en-US"/>
              </w:rPr>
            </w:pPr>
            <w:r>
              <w:rPr>
                <w:rFonts w:hint="eastAsia"/>
                <w:b w:val="0"/>
                <w:lang w:val="en-US" w:eastAsia="zh-CN"/>
              </w:rPr>
              <w:t>20</w:t>
            </w:r>
          </w:p>
        </w:tc>
        <w:tc>
          <w:tcPr>
            <w:tcW w:w="1667" w:type="pct"/>
            <w:tcBorders>
              <w:top w:val="single" w:color="000000" w:sz="4" w:space="0"/>
              <w:left w:val="nil"/>
              <w:bottom w:val="nil"/>
              <w:right w:val="nil"/>
            </w:tcBorders>
            <w:shd w:val="clear" w:color="auto" w:fill="FFFFFF"/>
            <w:tcMar>
              <w:top w:w="0" w:type="dxa"/>
              <w:left w:w="0" w:type="dxa"/>
              <w:bottom w:w="0" w:type="dxa"/>
              <w:right w:w="0" w:type="dxa"/>
            </w:tcMar>
            <w:vAlign w:val="center"/>
          </w:tcPr>
          <w:p w14:paraId="3D866FF2">
            <w:pPr>
              <w:pStyle w:val="58"/>
              <w:bidi w:val="0"/>
              <w:rPr>
                <w:b w:val="0"/>
                <w:lang w:val="en-US" w:eastAsia="zh-CN"/>
              </w:rPr>
            </w:pPr>
            <w:r>
              <w:rPr>
                <w:rFonts w:hint="eastAsia"/>
                <w:b w:val="0"/>
                <w:lang w:val="en-US" w:eastAsia="zh-CN"/>
              </w:rPr>
              <w:t>10</w:t>
            </w:r>
          </w:p>
        </w:tc>
      </w:tr>
      <w:tr w14:paraId="2C25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1BDEDC0">
            <w:pPr>
              <w:pStyle w:val="58"/>
              <w:bidi w:val="0"/>
              <w:rPr>
                <w:rFonts w:hint="default"/>
                <w:b w:val="0"/>
                <w:lang w:val="en-US" w:eastAsia="zh-CN"/>
              </w:rPr>
            </w:pPr>
            <w:r>
              <w:rPr>
                <w:rFonts w:hint="eastAsia"/>
                <w:b w:val="0"/>
                <w:lang w:val="en-US" w:eastAsia="zh-CN"/>
              </w:rPr>
              <w:t>参与率</w:t>
            </w:r>
            <w:r>
              <w:t>（Fraction）</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0DC3B361">
            <w:pPr>
              <w:pStyle w:val="58"/>
              <w:bidi w:val="0"/>
              <w:rPr>
                <w:rFonts w:hint="default"/>
                <w:b w:val="0"/>
                <w:lang w:val="en-US" w:eastAsia="zh-CN"/>
              </w:rPr>
            </w:pPr>
            <w:r>
              <w:rPr>
                <w:rFonts w:hint="eastAsia"/>
                <w:b w:val="0"/>
                <w:lang w:val="en-US" w:eastAsia="zh-CN"/>
              </w:rPr>
              <w:t>1</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6A00DA96">
            <w:pPr>
              <w:pStyle w:val="58"/>
              <w:bidi w:val="0"/>
              <w:rPr>
                <w:rFonts w:hint="default"/>
                <w:b w:val="0"/>
                <w:lang w:val="en-US" w:eastAsia="zh-CN"/>
              </w:rPr>
            </w:pPr>
            <w:r>
              <w:rPr>
                <w:rFonts w:hint="eastAsia"/>
                <w:b w:val="0"/>
                <w:lang w:val="en-US" w:eastAsia="zh-CN"/>
              </w:rPr>
              <w:t>1</w:t>
            </w:r>
          </w:p>
        </w:tc>
      </w:tr>
      <w:tr w14:paraId="3349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65B4359F">
            <w:pPr>
              <w:pStyle w:val="58"/>
              <w:bidi w:val="0"/>
              <w:rPr>
                <w:b w:val="0"/>
              </w:rPr>
            </w:pPr>
            <w:r>
              <w:rPr>
                <w:b w:val="0"/>
                <w:lang w:val="en-US" w:eastAsia="zh-CN"/>
              </w:rPr>
              <w:t>全局通信轮次</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13526BF3">
            <w:pPr>
              <w:pStyle w:val="58"/>
              <w:bidi w:val="0"/>
              <w:rPr>
                <w:b w:val="0"/>
                <w:lang w:val="en-US"/>
              </w:rPr>
            </w:pPr>
            <w:r>
              <w:rPr>
                <w:rFonts w:hint="eastAsia"/>
                <w:b w:val="0"/>
                <w:lang w:val="en-US" w:eastAsia="zh-CN"/>
              </w:rPr>
              <w:t>70</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34997AEF">
            <w:pPr>
              <w:pStyle w:val="58"/>
              <w:bidi w:val="0"/>
              <w:rPr>
                <w:rFonts w:hint="default"/>
                <w:b w:val="0"/>
                <w:lang w:val="en-US" w:eastAsia="zh-CN"/>
              </w:rPr>
            </w:pPr>
            <w:r>
              <w:rPr>
                <w:rFonts w:hint="eastAsia"/>
                <w:b w:val="0"/>
                <w:lang w:val="en-US" w:eastAsia="zh-CN"/>
              </w:rPr>
              <w:t>70</w:t>
            </w:r>
          </w:p>
        </w:tc>
      </w:tr>
      <w:tr w14:paraId="3C5E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323E5958">
            <w:pPr>
              <w:pStyle w:val="58"/>
              <w:bidi w:val="0"/>
              <w:rPr>
                <w:b w:val="0"/>
              </w:rPr>
            </w:pPr>
            <w:r>
              <w:rPr>
                <w:b w:val="0"/>
                <w:lang w:val="en-US" w:eastAsia="zh-CN"/>
              </w:rPr>
              <w:t>本地训练轮次</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1A757A78">
            <w:pPr>
              <w:pStyle w:val="58"/>
              <w:bidi w:val="0"/>
              <w:rPr>
                <w:b w:val="0"/>
              </w:rPr>
            </w:pPr>
            <w:r>
              <w:rPr>
                <w:rFonts w:hint="eastAsia"/>
                <w:b w:val="0"/>
                <w:lang w:val="en-US" w:eastAsia="zh-CN"/>
              </w:rPr>
              <w:t>3</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53A63169">
            <w:pPr>
              <w:pStyle w:val="58"/>
              <w:bidi w:val="0"/>
              <w:rPr>
                <w:b w:val="0"/>
                <w:lang w:val="en-US" w:eastAsia="zh-CN"/>
              </w:rPr>
            </w:pPr>
            <w:r>
              <w:rPr>
                <w:rFonts w:hint="eastAsia"/>
                <w:b w:val="0"/>
                <w:lang w:val="en-US" w:eastAsia="zh-CN"/>
              </w:rPr>
              <w:t>3</w:t>
            </w:r>
          </w:p>
        </w:tc>
      </w:tr>
      <w:tr w14:paraId="2FF7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3097BAC4">
            <w:pPr>
              <w:pStyle w:val="58"/>
              <w:bidi w:val="0"/>
              <w:rPr>
                <w:b w:val="0"/>
              </w:rPr>
            </w:pPr>
            <w:r>
              <w:rPr>
                <w:b w:val="0"/>
                <w:lang w:val="en-US" w:eastAsia="zh-CN"/>
              </w:rPr>
              <w:t>初始学习率</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08019CE9">
            <w:pPr>
              <w:pStyle w:val="58"/>
              <w:bidi w:val="0"/>
              <w:rPr>
                <w:b w:val="0"/>
                <w:lang w:val="en-US"/>
              </w:rPr>
            </w:pPr>
            <w:r>
              <w:rPr>
                <w:rFonts w:hint="eastAsia"/>
                <w:b w:val="0"/>
                <w:lang w:val="en-US" w:eastAsia="zh-CN"/>
              </w:rPr>
              <w:t>0.05</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6DA7E741">
            <w:pPr>
              <w:pStyle w:val="58"/>
              <w:bidi w:val="0"/>
              <w:rPr>
                <w:b w:val="0"/>
                <w:lang w:val="en-US" w:eastAsia="zh-CN"/>
              </w:rPr>
            </w:pPr>
            <w:r>
              <w:rPr>
                <w:rFonts w:hint="eastAsia"/>
                <w:b w:val="0"/>
                <w:lang w:val="en-US" w:eastAsia="zh-CN"/>
              </w:rPr>
              <w:t>0.05</w:t>
            </w:r>
          </w:p>
        </w:tc>
      </w:tr>
      <w:tr w14:paraId="22F12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679513E">
            <w:pPr>
              <w:pStyle w:val="58"/>
              <w:bidi w:val="0"/>
              <w:rPr>
                <w:b w:val="0"/>
                <w:lang w:val="en-US" w:eastAsia="zh-CN"/>
              </w:rPr>
            </w:pPr>
            <w:r>
              <w:rPr>
                <w:rFonts w:hint="eastAsia"/>
                <w:b w:val="0"/>
                <w:lang w:val="en-US" w:eastAsia="zh-CN"/>
              </w:rPr>
              <w:t>学习率衰减轮次</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3FB2F58">
            <w:pPr>
              <w:pStyle w:val="58"/>
              <w:bidi w:val="0"/>
              <w:rPr>
                <w:b w:val="0"/>
                <w:lang w:val="en-US" w:eastAsia="zh-CN"/>
              </w:rPr>
            </w:pPr>
            <w:r>
              <w:rPr>
                <w:rFonts w:hint="eastAsia"/>
                <w:b w:val="0"/>
                <w:lang w:val="en-US" w:eastAsia="zh-CN"/>
              </w:rPr>
              <w:t>40，60</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5BEE263D">
            <w:pPr>
              <w:pStyle w:val="58"/>
              <w:bidi w:val="0"/>
              <w:rPr>
                <w:b w:val="0"/>
                <w:lang w:val="en-US" w:eastAsia="zh-CN"/>
              </w:rPr>
            </w:pPr>
            <w:r>
              <w:rPr>
                <w:rFonts w:hint="eastAsia"/>
                <w:b w:val="0"/>
                <w:lang w:val="en-US" w:eastAsia="zh-CN"/>
              </w:rPr>
              <w:t>20</w:t>
            </w:r>
            <w:r>
              <w:rPr>
                <w:b w:val="0"/>
                <w:lang w:val="en-US" w:eastAsia="zh-CN"/>
              </w:rPr>
              <w:t>，</w:t>
            </w:r>
            <w:r>
              <w:rPr>
                <w:rFonts w:hint="eastAsia"/>
                <w:b w:val="0"/>
                <w:lang w:val="en-US" w:eastAsia="zh-CN"/>
              </w:rPr>
              <w:t>40，60</w:t>
            </w:r>
          </w:p>
        </w:tc>
      </w:tr>
      <w:tr w14:paraId="2EB1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74D5133">
            <w:pPr>
              <w:pStyle w:val="58"/>
              <w:bidi w:val="0"/>
              <w:rPr>
                <w:b w:val="0"/>
                <w:lang w:val="en-US" w:eastAsia="zh-CN"/>
              </w:rPr>
            </w:pPr>
            <w:r>
              <w:rPr>
                <w:rFonts w:hint="eastAsia"/>
                <w:b w:val="0"/>
                <w:lang w:val="en-US" w:eastAsia="zh-CN"/>
              </w:rPr>
              <w:t>学习率衰减系数</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701CC1CD">
            <w:pPr>
              <w:pStyle w:val="58"/>
              <w:bidi w:val="0"/>
              <w:rPr>
                <w:b w:val="0"/>
                <w:lang w:val="en-US" w:eastAsia="zh-CN"/>
              </w:rPr>
            </w:pPr>
            <w:r>
              <w:rPr>
                <w:rFonts w:hint="eastAsia"/>
                <w:b w:val="0"/>
                <w:lang w:val="en-US" w:eastAsia="zh-CN"/>
              </w:rPr>
              <w:t>0.2</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0AB7B03A">
            <w:pPr>
              <w:pStyle w:val="58"/>
              <w:bidi w:val="0"/>
              <w:rPr>
                <w:b w:val="0"/>
                <w:lang w:val="en-US" w:eastAsia="zh-CN"/>
              </w:rPr>
            </w:pPr>
            <w:r>
              <w:rPr>
                <w:rFonts w:hint="eastAsia"/>
                <w:b w:val="0"/>
                <w:lang w:val="en-US" w:eastAsia="zh-CN"/>
              </w:rPr>
              <w:t>0.5</w:t>
            </w:r>
          </w:p>
        </w:tc>
      </w:tr>
      <w:tr w14:paraId="1E4C9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54A2ECB5">
            <w:pPr>
              <w:pStyle w:val="58"/>
              <w:bidi w:val="0"/>
              <w:rPr>
                <w:b w:val="0"/>
              </w:rPr>
            </w:pPr>
            <w:r>
              <w:rPr>
                <w:b w:val="0"/>
                <w:lang w:val="en-US" w:eastAsia="zh-CN"/>
              </w:rPr>
              <w:t>批次大小（Batch Size）</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329A0E5">
            <w:pPr>
              <w:pStyle w:val="58"/>
              <w:bidi w:val="0"/>
              <w:rPr>
                <w:b w:val="0"/>
                <w:lang w:val="en-US"/>
              </w:rPr>
            </w:pPr>
            <w:r>
              <w:rPr>
                <w:rFonts w:hint="eastAsia"/>
                <w:b w:val="0"/>
                <w:lang w:val="en-US" w:eastAsia="zh-CN"/>
              </w:rPr>
              <w:t>64</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4D35F8E9">
            <w:pPr>
              <w:pStyle w:val="58"/>
              <w:bidi w:val="0"/>
              <w:rPr>
                <w:b w:val="0"/>
                <w:lang w:val="en-US" w:eastAsia="zh-CN"/>
              </w:rPr>
            </w:pPr>
            <w:r>
              <w:rPr>
                <w:rFonts w:hint="eastAsia"/>
                <w:b w:val="0"/>
                <w:lang w:val="en-US" w:eastAsia="zh-CN"/>
              </w:rPr>
              <w:t>64</w:t>
            </w:r>
          </w:p>
        </w:tc>
      </w:tr>
      <w:tr w14:paraId="3635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5E8E4920">
            <w:pPr>
              <w:pStyle w:val="58"/>
              <w:bidi w:val="0"/>
              <w:rPr>
                <w:b w:val="0"/>
                <w:lang w:val="en-US" w:eastAsia="zh-CN"/>
              </w:rPr>
            </w:pPr>
            <w:r>
              <w:rPr>
                <w:b w:val="0"/>
                <w:lang w:val="en-US" w:eastAsia="zh-CN"/>
              </w:rPr>
              <w:t>优化器</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7F92CFB">
            <w:pPr>
              <w:pStyle w:val="58"/>
              <w:bidi w:val="0"/>
              <w:rPr>
                <w:b w:val="0"/>
              </w:rPr>
            </w:pPr>
            <w:r>
              <w:rPr>
                <w:b w:val="0"/>
                <w:lang w:val="en-US" w:eastAsia="zh-CN"/>
              </w:rPr>
              <w:t>SGD</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322E2FDD">
            <w:pPr>
              <w:pStyle w:val="58"/>
              <w:bidi w:val="0"/>
              <w:rPr>
                <w:b w:val="0"/>
                <w:lang w:val="en-US" w:eastAsia="zh-CN"/>
              </w:rPr>
            </w:pPr>
            <w:r>
              <w:rPr>
                <w:rFonts w:hint="eastAsia"/>
                <w:b w:val="0"/>
                <w:lang w:val="en-US" w:eastAsia="zh-CN"/>
              </w:rPr>
              <w:t>SGD</w:t>
            </w:r>
          </w:p>
        </w:tc>
      </w:tr>
      <w:tr w14:paraId="0FA31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9ADE716">
            <w:pPr>
              <w:pStyle w:val="58"/>
              <w:bidi w:val="0"/>
              <w:rPr>
                <w:b w:val="0"/>
                <w:lang w:val="en-US" w:eastAsia="zh-CN"/>
              </w:rPr>
            </w:pPr>
            <w:r>
              <w:rPr>
                <w:b w:val="0"/>
                <w:lang w:val="en-US" w:eastAsia="zh-CN"/>
              </w:rPr>
              <w:t>初始近端约束</w:t>
            </w:r>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747CB13F">
            <w:pPr>
              <w:pStyle w:val="58"/>
              <w:bidi w:val="0"/>
              <w:rPr>
                <w:b w:val="0"/>
                <w:lang w:val="en-US" w:eastAsia="zh-CN"/>
              </w:rPr>
            </w:pPr>
            <w:r>
              <w:rPr>
                <w:b w:val="0"/>
                <w:lang w:val="en-US" w:eastAsia="zh-CN"/>
              </w:rPr>
              <w:t>0.1</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30D2C712">
            <w:pPr>
              <w:pStyle w:val="58"/>
              <w:bidi w:val="0"/>
              <w:rPr>
                <w:rFonts w:hint="eastAsia"/>
                <w:b w:val="0"/>
                <w:lang w:val="en-US" w:eastAsia="zh-CN"/>
              </w:rPr>
            </w:pPr>
            <w:r>
              <w:rPr>
                <w:rFonts w:hint="eastAsia"/>
                <w:b w:val="0"/>
                <w:lang w:val="en-US" w:eastAsia="zh-CN"/>
              </w:rPr>
              <w:t>0.1</w:t>
            </w:r>
          </w:p>
        </w:tc>
      </w:tr>
      <w:tr w14:paraId="72FD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2977F42B">
            <w:pPr>
              <w:pStyle w:val="58"/>
              <w:bidi w:val="0"/>
              <w:rPr>
                <w:b w:val="0"/>
                <w:lang w:val="en-US"/>
              </w:rPr>
            </w:pPr>
            <w:r>
              <w:rPr>
                <w:b w:val="0"/>
                <w:lang w:val="en-US" w:eastAsia="zh-CN"/>
              </w:rPr>
              <w:t>近端</w:t>
            </w:r>
            <w:r>
              <w:rPr>
                <w:rFonts w:hint="eastAsia"/>
                <w:b w:val="0"/>
                <w:lang w:val="en-US" w:eastAsia="zh-CN"/>
              </w:rPr>
              <w:t>衰减</w:t>
            </w:r>
            <w:r>
              <w:rPr>
                <w:b w:val="0"/>
                <w:lang w:val="en-US" w:eastAsia="zh-CN"/>
              </w:rPr>
              <w:t>系数</w:t>
            </w:r>
            <w:r>
              <w:rPr>
                <w:rFonts w:hint="eastAsia"/>
                <w:b w:val="0"/>
                <w:lang w:val="en-US" w:eastAsia="zh-CN"/>
              </w:rPr>
              <w:t xml:space="preserve"> </w:t>
            </w:r>
            <m:oMath>
              <m:r>
                <m:rPr/>
                <w:rPr>
                  <w:rFonts w:hint="default" w:ascii="Cambria Math" w:hAnsi="Cambria Math"/>
                  <w:sz w:val="21"/>
                </w:rPr>
                <m:t>μ</m:t>
              </m:r>
            </m:oMath>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3298700B">
            <w:pPr>
              <w:pStyle w:val="58"/>
              <w:bidi w:val="0"/>
              <w:rPr>
                <w:b w:val="0"/>
                <w:lang w:val="en-US"/>
              </w:rPr>
            </w:pPr>
            <w:r>
              <w:rPr>
                <w:rFonts w:hint="eastAsia"/>
                <w:b w:val="0"/>
                <w:lang w:val="en-US" w:eastAsia="zh-CN"/>
              </w:rPr>
              <w:t>0.1</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01DC8526">
            <w:pPr>
              <w:pStyle w:val="58"/>
              <w:bidi w:val="0"/>
              <w:rPr>
                <w:b w:val="0"/>
                <w:lang w:val="en-US" w:eastAsia="zh-CN"/>
              </w:rPr>
            </w:pPr>
            <w:r>
              <w:rPr>
                <w:rFonts w:hint="eastAsia"/>
                <w:b w:val="0"/>
                <w:lang w:val="en-US" w:eastAsia="zh-CN"/>
              </w:rPr>
              <w:t>0.1</w:t>
            </w:r>
          </w:p>
        </w:tc>
      </w:tr>
      <w:tr w14:paraId="42C7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nil"/>
              <w:right w:val="nil"/>
            </w:tcBorders>
            <w:shd w:val="clear" w:color="auto" w:fill="FFFFFF"/>
            <w:tcMar>
              <w:top w:w="0" w:type="dxa"/>
              <w:left w:w="0" w:type="dxa"/>
              <w:bottom w:w="0" w:type="dxa"/>
              <w:right w:w="0" w:type="dxa"/>
            </w:tcMar>
            <w:vAlign w:val="center"/>
          </w:tcPr>
          <w:p w14:paraId="7B914E23">
            <w:pPr>
              <w:pStyle w:val="58"/>
              <w:bidi w:val="0"/>
              <w:rPr>
                <w:b w:val="0"/>
              </w:rPr>
            </w:pPr>
            <w:r>
              <w:rPr>
                <w:rFonts w:hint="eastAsia"/>
                <w:b w:val="0"/>
                <w:lang w:val="en-US" w:eastAsia="zh-CN"/>
              </w:rPr>
              <w:t>mixup系数</w:t>
            </w:r>
            <w:r>
              <w:rPr>
                <w:b w:val="0"/>
                <w:lang w:val="en-US" w:eastAsia="zh-CN"/>
              </w:rPr>
              <w:t xml:space="preserve"> </w:t>
            </w:r>
            <m:oMath>
              <m:r>
                <m:rPr/>
                <w:rPr>
                  <w:rFonts w:hint="default" w:ascii="Cambria Math" w:hAnsi="Cambria Math"/>
                  <w:sz w:val="21"/>
                </w:rPr>
                <m:t>r</m:t>
              </m:r>
            </m:oMath>
          </w:p>
        </w:tc>
        <w:tc>
          <w:tcPr>
            <w:tcW w:w="1666" w:type="pct"/>
            <w:tcBorders>
              <w:top w:val="nil"/>
              <w:left w:val="nil"/>
              <w:bottom w:val="nil"/>
              <w:right w:val="nil"/>
            </w:tcBorders>
            <w:shd w:val="clear" w:color="auto" w:fill="FFFFFF"/>
            <w:tcMar>
              <w:top w:w="0" w:type="dxa"/>
              <w:left w:w="0" w:type="dxa"/>
              <w:bottom w:w="0" w:type="dxa"/>
              <w:right w:w="0" w:type="dxa"/>
            </w:tcMar>
            <w:vAlign w:val="center"/>
          </w:tcPr>
          <w:p w14:paraId="177F72C8">
            <w:pPr>
              <w:pStyle w:val="58"/>
              <w:bidi w:val="0"/>
              <w:rPr>
                <w:b w:val="0"/>
                <w:lang w:val="en-US"/>
              </w:rPr>
            </w:pPr>
            <w:r>
              <w:rPr>
                <w:rFonts w:hint="eastAsia"/>
                <w:b w:val="0"/>
                <w:lang w:val="en-US" w:eastAsia="zh-CN"/>
              </w:rPr>
              <w:t>0</w:t>
            </w:r>
          </w:p>
        </w:tc>
        <w:tc>
          <w:tcPr>
            <w:tcW w:w="1667" w:type="pct"/>
            <w:tcBorders>
              <w:top w:val="nil"/>
              <w:left w:val="nil"/>
              <w:bottom w:val="nil"/>
              <w:right w:val="nil"/>
            </w:tcBorders>
            <w:shd w:val="clear" w:color="auto" w:fill="FFFFFF"/>
            <w:tcMar>
              <w:top w:w="0" w:type="dxa"/>
              <w:left w:w="0" w:type="dxa"/>
              <w:bottom w:w="0" w:type="dxa"/>
              <w:right w:w="0" w:type="dxa"/>
            </w:tcMar>
            <w:vAlign w:val="center"/>
          </w:tcPr>
          <w:p w14:paraId="05B7B673">
            <w:pPr>
              <w:pStyle w:val="58"/>
              <w:bidi w:val="0"/>
              <w:rPr>
                <w:b w:val="0"/>
                <w:lang w:val="en-US" w:eastAsia="zh-CN"/>
              </w:rPr>
            </w:pPr>
            <w:r>
              <w:rPr>
                <w:rFonts w:hint="eastAsia"/>
                <w:b w:val="0"/>
                <w:lang w:val="en-US" w:eastAsia="zh-CN"/>
              </w:rPr>
              <w:t>0.2</w:t>
            </w:r>
          </w:p>
        </w:tc>
      </w:tr>
      <w:tr w14:paraId="3FC70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1666" w:type="pct"/>
            <w:tcBorders>
              <w:top w:val="nil"/>
              <w:left w:val="nil"/>
              <w:bottom w:val="single" w:color="000000" w:sz="12" w:space="0"/>
              <w:right w:val="nil"/>
            </w:tcBorders>
            <w:shd w:val="clear" w:color="auto" w:fill="FFFFFF"/>
            <w:tcMar>
              <w:top w:w="0" w:type="dxa"/>
              <w:left w:w="0" w:type="dxa"/>
              <w:bottom w:w="0" w:type="dxa"/>
              <w:right w:w="0" w:type="dxa"/>
            </w:tcMar>
            <w:vAlign w:val="center"/>
          </w:tcPr>
          <w:p w14:paraId="490D4E13">
            <w:pPr>
              <w:pStyle w:val="58"/>
              <w:bidi w:val="0"/>
              <w:rPr>
                <w:b w:val="0"/>
              </w:rPr>
            </w:pPr>
            <w:r>
              <w:rPr>
                <w:b w:val="0"/>
                <w:lang w:val="en-US" w:eastAsia="zh-CN"/>
              </w:rPr>
              <w:t>Dirichle</w:t>
            </w:r>
            <w:r>
              <w:rPr>
                <w:rFonts w:hint="eastAsia"/>
                <w:b w:val="0"/>
                <w:lang w:val="en-US" w:eastAsia="zh-CN"/>
              </w:rPr>
              <w:t>t分布</w:t>
            </w:r>
            <w:r>
              <w:rPr>
                <w:b w:val="0"/>
                <w:lang w:val="en-US" w:eastAsia="zh-CN"/>
              </w:rPr>
              <w:t xml:space="preserve"> </w:t>
            </w:r>
            <m:oMath>
              <m:r>
                <m:rPr/>
                <w:rPr>
                  <w:rFonts w:hint="default" w:ascii="Cambria Math" w:hAnsi="Cambria Math" w:cs="Cambria Math"/>
                </w:rPr>
                <m:t>α</m:t>
              </m:r>
            </m:oMath>
          </w:p>
        </w:tc>
        <w:tc>
          <w:tcPr>
            <w:tcW w:w="1666" w:type="pct"/>
            <w:tcBorders>
              <w:top w:val="nil"/>
              <w:left w:val="nil"/>
              <w:bottom w:val="single" w:color="000000" w:sz="12" w:space="0"/>
              <w:right w:val="nil"/>
            </w:tcBorders>
            <w:shd w:val="clear" w:color="auto" w:fill="FFFFFF"/>
            <w:tcMar>
              <w:top w:w="0" w:type="dxa"/>
              <w:left w:w="0" w:type="dxa"/>
              <w:bottom w:w="0" w:type="dxa"/>
              <w:right w:w="0" w:type="dxa"/>
            </w:tcMar>
            <w:vAlign w:val="center"/>
          </w:tcPr>
          <w:p w14:paraId="006898E4">
            <w:pPr>
              <w:pStyle w:val="58"/>
              <w:bidi w:val="0"/>
              <w:rPr>
                <w:b w:val="0"/>
              </w:rPr>
            </w:pPr>
            <w:r>
              <w:rPr>
                <w:rFonts w:hint="eastAsia"/>
                <w:b w:val="0"/>
                <w:lang w:val="en-US" w:eastAsia="zh-CN"/>
              </w:rPr>
              <w:t>1</w:t>
            </w:r>
          </w:p>
        </w:tc>
        <w:tc>
          <w:tcPr>
            <w:tcW w:w="1667" w:type="pct"/>
            <w:tcBorders>
              <w:top w:val="nil"/>
              <w:left w:val="nil"/>
              <w:bottom w:val="single" w:color="000000" w:sz="12" w:space="0"/>
              <w:right w:val="nil"/>
            </w:tcBorders>
            <w:shd w:val="clear" w:color="auto" w:fill="FFFFFF"/>
            <w:tcMar>
              <w:top w:w="0" w:type="dxa"/>
              <w:left w:w="0" w:type="dxa"/>
              <w:bottom w:w="0" w:type="dxa"/>
              <w:right w:w="0" w:type="dxa"/>
            </w:tcMar>
            <w:vAlign w:val="center"/>
          </w:tcPr>
          <w:p w14:paraId="70E0A27A">
            <w:pPr>
              <w:pStyle w:val="58"/>
              <w:bidi w:val="0"/>
              <w:rPr>
                <w:b w:val="0"/>
                <w:lang w:val="en-US" w:eastAsia="zh-CN"/>
              </w:rPr>
            </w:pPr>
            <w:r>
              <w:rPr>
                <w:rFonts w:hint="eastAsia"/>
                <w:b w:val="0"/>
                <w:lang w:val="en-US" w:eastAsia="zh-CN"/>
              </w:rPr>
              <w:t>1</w:t>
            </w:r>
          </w:p>
        </w:tc>
      </w:tr>
    </w:tbl>
    <w:p w14:paraId="002432B5">
      <w:pPr>
        <w:pStyle w:val="56"/>
        <w:bidi w:val="0"/>
        <w:rPr>
          <w:rFonts w:hint="eastAsia"/>
        </w:rPr>
      </w:pPr>
      <w:r>
        <w:rPr>
          <w:rFonts w:hint="eastAsia"/>
        </w:rPr>
        <w:t>表4-1 主要实验参数配置</w:t>
      </w:r>
    </w:p>
    <w:p w14:paraId="384AFE5F">
      <w:pPr>
        <w:pStyle w:val="57"/>
        <w:bidi w:val="0"/>
        <w:rPr>
          <w:rFonts w:hint="eastAsia" w:eastAsia="宋体"/>
          <w:lang w:eastAsia="zh-CN"/>
        </w:rPr>
      </w:pPr>
      <w:bookmarkStart w:id="106" w:name="_Toc223595400_ai_ai"/>
      <w:bookmarkStart w:id="107" w:name="_Toc1543_ai_ai"/>
      <w:r>
        <w:t>注：参与率（Fraction）为1代表每轮全局通信中所有客户端均参与本地训练</w:t>
      </w:r>
      <w:r>
        <w:rPr>
          <w:rFonts w:hint="eastAsia"/>
          <w:lang w:eastAsia="zh-CN"/>
        </w:rPr>
        <w:t>。</w:t>
      </w:r>
    </w:p>
    <w:p w14:paraId="7C475BBE">
      <w:pPr>
        <w:pStyle w:val="3"/>
        <w:spacing w:before="240" w:beforeLines="100" w:after="120" w:afterLines="50"/>
        <w:ind w:firstLine="0"/>
      </w:pPr>
      <w:bookmarkStart w:id="108" w:name="_Toc28006"/>
      <w:r>
        <w:rPr>
          <w:rFonts w:hint="eastAsia" w:ascii="Times New Roman" w:hAnsi="Times New Roman" w:eastAsia="黑体" w:cs="Times New Roman"/>
          <w:bCs/>
          <w:kern w:val="2"/>
          <w:sz w:val="30"/>
          <w:szCs w:val="32"/>
          <w:lang w:val="zh-CN" w:eastAsia="zh-CN" w:bidi="ar-SA"/>
        </w:rPr>
        <w:t>4.2 基于</w:t>
      </w:r>
      <w:r>
        <w:rPr>
          <w:rFonts w:hint="eastAsia" w:cs="Times New Roman"/>
          <w:bCs/>
          <w:kern w:val="2"/>
          <w:sz w:val="30"/>
          <w:szCs w:val="32"/>
          <w:lang w:val="zh-CN" w:eastAsia="zh-CN" w:bidi="ar-SA"/>
        </w:rPr>
        <w:t>CIFAR-10</w:t>
      </w:r>
      <w:r>
        <w:rPr>
          <w:rFonts w:hint="eastAsia" w:ascii="Times New Roman" w:hAnsi="Times New Roman" w:eastAsia="黑体" w:cs="Times New Roman"/>
          <w:bCs/>
          <w:kern w:val="2"/>
          <w:sz w:val="30"/>
          <w:szCs w:val="32"/>
          <w:lang w:val="zh-CN" w:eastAsia="zh-CN" w:bidi="ar-SA"/>
        </w:rPr>
        <w:t>的</w:t>
      </w:r>
      <w:r>
        <w:rPr>
          <w:rFonts w:hint="eastAsia" w:cs="Times New Roman"/>
          <w:bCs/>
          <w:kern w:val="2"/>
          <w:sz w:val="30"/>
          <w:szCs w:val="32"/>
          <w:lang w:val="en-US" w:eastAsia="zh-CN" w:bidi="ar-SA"/>
        </w:rPr>
        <w:t>改进FedProx</w:t>
      </w:r>
      <w:r>
        <w:rPr>
          <w:rFonts w:hint="eastAsia" w:ascii="Times New Roman" w:hAnsi="Times New Roman" w:eastAsia="黑体" w:cs="Times New Roman"/>
          <w:bCs/>
          <w:kern w:val="2"/>
          <w:sz w:val="30"/>
          <w:szCs w:val="32"/>
          <w:lang w:val="zh-CN" w:eastAsia="zh-CN" w:bidi="ar-SA"/>
        </w:rPr>
        <w:t>算法</w:t>
      </w:r>
      <w:r>
        <w:rPr>
          <w:rFonts w:hint="eastAsia" w:cs="Times New Roman"/>
          <w:bCs/>
          <w:kern w:val="2"/>
          <w:sz w:val="30"/>
          <w:szCs w:val="32"/>
          <w:lang w:val="en-US" w:eastAsia="zh-CN" w:bidi="ar-SA"/>
        </w:rPr>
        <w:t>初步</w:t>
      </w:r>
      <w:r>
        <w:rPr>
          <w:rFonts w:hint="eastAsia" w:ascii="Times New Roman" w:hAnsi="Times New Roman" w:eastAsia="黑体" w:cs="Times New Roman"/>
          <w:bCs/>
          <w:kern w:val="2"/>
          <w:sz w:val="30"/>
          <w:szCs w:val="32"/>
          <w:lang w:val="zh-CN" w:eastAsia="zh-CN" w:bidi="ar-SA"/>
        </w:rPr>
        <w:t>验证</w:t>
      </w:r>
      <w:bookmarkEnd w:id="106"/>
      <w:bookmarkEnd w:id="107"/>
      <w:bookmarkEnd w:id="108"/>
    </w:p>
    <w:p w14:paraId="0B1E9779">
      <w:pPr>
        <w:rPr>
          <w:rFonts w:hint="eastAsia"/>
        </w:rPr>
      </w:pPr>
      <w:r>
        <w:rPr>
          <w:rFonts w:hint="eastAsia"/>
        </w:rPr>
        <w:t>为在排除数据增强与迁移学习等外部因素的条件下，独立检验动态近端约束衰减机制的算法有效性，本节在</w:t>
      </w:r>
      <w:r>
        <w:rPr>
          <w:rFonts w:hint="eastAsia"/>
          <w:lang w:eastAsia="zh-CN"/>
        </w:rPr>
        <w:t>CIFAR-10</w:t>
      </w:r>
      <w:r>
        <w:rPr>
          <w:rFonts w:hint="eastAsia"/>
        </w:rPr>
        <w:t>标准数据集上以ResNet18为主干网络，在统一的无预训练、无Mixup增强的控制条件下进行三组对比实验。三组实验仅改变联邦</w:t>
      </w:r>
      <w:r>
        <w:rPr>
          <w:rFonts w:hint="eastAsia"/>
          <w:lang w:val="en-US" w:eastAsia="zh-CN"/>
        </w:rPr>
        <w:t>学习</w:t>
      </w:r>
      <w:r>
        <w:rPr>
          <w:rFonts w:hint="eastAsia"/>
        </w:rPr>
        <w:t>算法，其余配置均保持一致。实验结果如表4-2所示。</w:t>
      </w:r>
    </w:p>
    <w:p w14:paraId="42FB0C9A">
      <w:pPr>
        <w:pStyle w:val="56"/>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lang w:val="en-US" w:eastAsia="zh-CN"/>
        </w:rPr>
        <w:t>表4-2 动态近端约束在</w:t>
      </w:r>
      <w:r>
        <w:rPr>
          <w:rFonts w:hint="eastAsia"/>
          <w:lang w:val="en-US" w:eastAsia="zh-CN"/>
        </w:rPr>
        <w:t>CIFAR-10</w:t>
      </w:r>
      <w:r>
        <w:rPr>
          <w:lang w:val="en-US" w:eastAsia="zh-CN"/>
        </w:rPr>
        <w:t>上的算法验证结果</w:t>
      </w:r>
    </w:p>
    <w:tbl>
      <w:tblPr>
        <w:tblStyle w:val="34"/>
        <w:tblpPr w:leftFromText="180" w:rightFromText="180" w:vertAnchor="text" w:horzAnchor="page" w:tblpX="1551" w:tblpY="62"/>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7"/>
        <w:gridCol w:w="4587"/>
      </w:tblGrid>
      <w:tr w14:paraId="02450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2500" w:type="pct"/>
            <w:tcBorders>
              <w:top w:val="single" w:color="000000" w:sz="12" w:space="0"/>
              <w:left w:val="nil"/>
              <w:bottom w:val="single" w:color="000000" w:sz="4" w:space="0"/>
              <w:right w:val="nil"/>
              <w:tl2br w:val="nil"/>
            </w:tcBorders>
            <w:shd w:val="clear" w:color="auto" w:fill="FFFFFF"/>
            <w:vAlign w:val="center"/>
          </w:tcPr>
          <w:p w14:paraId="43D1D008">
            <w:pPr>
              <w:pStyle w:val="58"/>
              <w:bidi w:val="0"/>
              <w:jc w:val="center"/>
              <w:rPr>
                <w:rFonts w:hint="default" w:eastAsia="宋体"/>
                <w:lang w:val="en-US" w:eastAsia="zh-CN"/>
              </w:rPr>
            </w:pPr>
            <w:r>
              <w:rPr>
                <w:rFonts w:hint="eastAsia"/>
                <w:lang w:val="en-US" w:eastAsia="zh-CN"/>
              </w:rPr>
              <w:t>联邦算法</w:t>
            </w:r>
          </w:p>
        </w:tc>
        <w:tc>
          <w:tcPr>
            <w:tcW w:w="2500" w:type="pct"/>
            <w:tcBorders>
              <w:top w:val="single" w:color="000000" w:sz="12" w:space="0"/>
              <w:left w:val="nil"/>
              <w:bottom w:val="single" w:color="000000" w:sz="4" w:space="0"/>
              <w:right w:val="nil"/>
            </w:tcBorders>
            <w:shd w:val="clear" w:color="auto" w:fill="FFFFFF"/>
            <w:vAlign w:val="center"/>
          </w:tcPr>
          <w:p w14:paraId="6676F43E">
            <w:pPr>
              <w:pStyle w:val="58"/>
              <w:bidi w:val="0"/>
              <w:jc w:val="center"/>
            </w:pPr>
            <w:r>
              <w:t>测试准确率（%）</w:t>
            </w:r>
          </w:p>
        </w:tc>
      </w:tr>
      <w:tr w14:paraId="48B2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500" w:type="pct"/>
            <w:tcBorders>
              <w:top w:val="single" w:color="000000" w:sz="4" w:space="0"/>
              <w:left w:val="nil"/>
              <w:bottom w:val="nil"/>
              <w:right w:val="nil"/>
            </w:tcBorders>
            <w:shd w:val="clear" w:color="auto" w:fill="FFFFFF"/>
            <w:vAlign w:val="center"/>
          </w:tcPr>
          <w:p w14:paraId="3A771416">
            <w:pPr>
              <w:pStyle w:val="58"/>
              <w:bidi w:val="0"/>
              <w:jc w:val="center"/>
              <w:rPr>
                <w:b w:val="0"/>
                <w:bCs w:val="0"/>
              </w:rPr>
            </w:pPr>
            <w:r>
              <w:rPr>
                <w:b w:val="0"/>
                <w:bCs w:val="0"/>
              </w:rPr>
              <w:t>FedAvg</w:t>
            </w:r>
          </w:p>
        </w:tc>
        <w:tc>
          <w:tcPr>
            <w:tcW w:w="2500" w:type="pct"/>
            <w:tcBorders>
              <w:top w:val="single" w:color="000000" w:sz="4" w:space="0"/>
              <w:left w:val="nil"/>
              <w:bottom w:val="nil"/>
              <w:right w:val="nil"/>
            </w:tcBorders>
            <w:shd w:val="clear" w:color="auto" w:fill="FFFFFF"/>
            <w:vAlign w:val="center"/>
          </w:tcPr>
          <w:p w14:paraId="3C6095A0">
            <w:pPr>
              <w:pStyle w:val="58"/>
              <w:bidi w:val="0"/>
              <w:jc w:val="center"/>
              <w:rPr>
                <w:bCs w:val="0"/>
              </w:rPr>
            </w:pPr>
            <w:r>
              <w:rPr>
                <w:bCs w:val="0"/>
              </w:rPr>
              <w:t>69.84</w:t>
            </w:r>
          </w:p>
        </w:tc>
      </w:tr>
      <w:tr w14:paraId="4E86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500" w:type="pct"/>
            <w:tcBorders>
              <w:top w:val="nil"/>
              <w:left w:val="nil"/>
              <w:bottom w:val="nil"/>
              <w:right w:val="nil"/>
            </w:tcBorders>
            <w:shd w:val="clear" w:color="auto" w:fill="FFFFFF"/>
            <w:vAlign w:val="center"/>
          </w:tcPr>
          <w:p w14:paraId="3E3B9BCA">
            <w:pPr>
              <w:pStyle w:val="58"/>
              <w:bidi w:val="0"/>
              <w:jc w:val="center"/>
              <w:rPr>
                <w:b w:val="0"/>
                <w:bCs w:val="0"/>
              </w:rPr>
            </w:pPr>
            <w:r>
              <w:rPr>
                <w:b w:val="0"/>
                <w:bCs w:val="0"/>
              </w:rPr>
              <w:t>FedProx（固定</w:t>
            </w:r>
            <m:oMath>
              <m:r>
                <m:rPr>
                  <m:sty m:val="p"/>
                </m:rPr>
                <w:rPr>
                  <w:rFonts w:hint="default" w:ascii="Cambria Math" w:hAnsi="Cambria Math"/>
                  <w:sz w:val="21"/>
                </w:rPr>
                <m:t>μ</m:t>
              </m:r>
            </m:oMath>
            <w:r>
              <w:rPr>
                <w:b w:val="0"/>
                <w:bCs w:val="0"/>
              </w:rPr>
              <w:t>）</w:t>
            </w:r>
          </w:p>
        </w:tc>
        <w:tc>
          <w:tcPr>
            <w:tcW w:w="2500" w:type="pct"/>
            <w:tcBorders>
              <w:top w:val="nil"/>
              <w:left w:val="nil"/>
              <w:bottom w:val="nil"/>
              <w:right w:val="nil"/>
            </w:tcBorders>
            <w:shd w:val="clear" w:color="auto" w:fill="FFFFFF"/>
            <w:vAlign w:val="center"/>
          </w:tcPr>
          <w:p w14:paraId="3AB5732C">
            <w:pPr>
              <w:pStyle w:val="58"/>
              <w:bidi w:val="0"/>
              <w:jc w:val="center"/>
              <w:rPr>
                <w:bCs w:val="0"/>
              </w:rPr>
            </w:pPr>
            <w:r>
              <w:rPr>
                <w:bCs w:val="0"/>
              </w:rPr>
              <w:t>71.74</w:t>
            </w:r>
          </w:p>
        </w:tc>
      </w:tr>
      <w:tr w14:paraId="044C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500" w:type="pct"/>
            <w:tcBorders>
              <w:top w:val="nil"/>
              <w:left w:val="nil"/>
              <w:bottom w:val="single" w:color="000000" w:sz="12" w:space="0"/>
              <w:right w:val="nil"/>
            </w:tcBorders>
            <w:shd w:val="clear" w:color="auto" w:fill="FFFFFF"/>
            <w:vAlign w:val="center"/>
          </w:tcPr>
          <w:p w14:paraId="01B80B2C">
            <w:pPr>
              <w:pStyle w:val="58"/>
              <w:bidi w:val="0"/>
              <w:jc w:val="center"/>
              <w:rPr>
                <w:b w:val="0"/>
                <w:bCs w:val="0"/>
              </w:rPr>
            </w:pPr>
            <w:r>
              <w:rPr>
                <w:b w:val="0"/>
                <w:bCs w:val="0"/>
              </w:rPr>
              <w:t>FedProx（动态</w:t>
            </w:r>
            <m:oMath>
              <m:r>
                <m:rPr>
                  <m:sty m:val="p"/>
                </m:rPr>
                <w:rPr>
                  <w:rFonts w:hint="default" w:ascii="Cambria Math" w:hAnsi="Cambria Math"/>
                  <w:sz w:val="21"/>
                </w:rPr>
                <m:t>μ</m:t>
              </m:r>
            </m:oMath>
            <w:r>
              <w:rPr>
                <w:b w:val="0"/>
                <w:bCs w:val="0"/>
              </w:rPr>
              <w:t>）</w:t>
            </w:r>
          </w:p>
        </w:tc>
        <w:tc>
          <w:tcPr>
            <w:tcW w:w="2500" w:type="pct"/>
            <w:tcBorders>
              <w:top w:val="nil"/>
              <w:left w:val="nil"/>
              <w:bottom w:val="single" w:color="000000" w:sz="12" w:space="0"/>
              <w:right w:val="nil"/>
            </w:tcBorders>
            <w:shd w:val="clear" w:color="auto" w:fill="FFFFFF"/>
            <w:vAlign w:val="center"/>
          </w:tcPr>
          <w:p w14:paraId="116EB98B">
            <w:pPr>
              <w:pStyle w:val="58"/>
              <w:bidi w:val="0"/>
              <w:jc w:val="center"/>
              <w:rPr>
                <w:bCs w:val="0"/>
              </w:rPr>
            </w:pPr>
            <w:r>
              <w:rPr>
                <w:bCs w:val="0"/>
              </w:rPr>
              <w:t>74.59</w:t>
            </w:r>
          </w:p>
        </w:tc>
      </w:tr>
    </w:tbl>
    <w:p w14:paraId="002352CD">
      <w:pPr>
        <w:pStyle w:val="57"/>
        <w:bidi w:val="0"/>
        <w:rPr>
          <w:rFonts w:hint="eastAsia"/>
        </w:rPr>
      </w:pPr>
      <w:r>
        <w:rPr>
          <w:rFonts w:hint="eastAsia"/>
          <w:lang w:val="en-US" w:eastAsia="zh-CN"/>
        </w:rPr>
        <w:t>注：结合完整的配置（</w:t>
      </w:r>
      <w:r>
        <w:rPr>
          <w:rFonts w:hint="eastAsia"/>
        </w:rPr>
        <w:t>预训练+Mixup）</w:t>
      </w:r>
      <w:r>
        <w:rPr>
          <w:rFonts w:hint="eastAsia"/>
          <w:lang w:val="en-US" w:eastAsia="zh-CN"/>
        </w:rPr>
        <w:t>后</w:t>
      </w:r>
      <w:r>
        <w:rPr>
          <w:rFonts w:hint="eastAsia"/>
        </w:rPr>
        <w:t>，FedProx（动态</w:t>
      </w:r>
      <m:oMath>
        <m:r>
          <m:rPr>
            <m:nor/>
          </m:rPr>
          <w:rPr>
            <w:rFonts w:hint="default" w:ascii="Times New Roman" w:hAnsi="Times New Roman" w:cs="Times New Roman"/>
            <w:i/>
          </w:rPr>
          <m:t>μ</m:t>
        </m:r>
      </m:oMath>
      <w:r>
        <w:rPr>
          <w:rFonts w:hint="eastAsia"/>
        </w:rPr>
        <w:t>）</w:t>
      </w:r>
      <w:r>
        <w:rPr>
          <w:rFonts w:hint="eastAsia"/>
          <w:lang w:val="en-US" w:eastAsia="zh-CN"/>
        </w:rPr>
        <w:t>在CIFAR-10</w:t>
      </w:r>
      <w:r>
        <w:rPr>
          <w:rFonts w:hint="eastAsia"/>
        </w:rPr>
        <w:t>的测试准确率可达86.53%。</w:t>
      </w:r>
    </w:p>
    <w:p w14:paraId="32B272D0">
      <w:pPr>
        <w:rPr>
          <w:rFonts w:hint="eastAsia"/>
        </w:rPr>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p w14:paraId="104F2303">
      <w:pPr>
        <w:rPr>
          <w:rFonts w:hint="eastAsia"/>
        </w:rPr>
      </w:pPr>
      <w:r>
        <w:rPr>
          <w:rFonts w:hint="eastAsia"/>
        </w:rPr>
        <w:t>实验结果表明，在无预训练、无Mixup的基线控制条件下，FedProx（固定</w:t>
      </w:r>
      <m:oMath>
        <m:r>
          <m:rPr/>
          <w:rPr>
            <w:rFonts w:hint="default" w:ascii="Cambria Math" w:hAnsi="Cambria Math"/>
          </w:rPr>
          <m:t>μ</m:t>
        </m:r>
      </m:oMath>
      <w:r>
        <w:rPr>
          <w:rFonts w:hint="eastAsia"/>
        </w:rPr>
        <w:t>）相较于FedAvg取得了1.90个百分点的提升（71.74%→69.84%），验证了近端约束在Non-IID条件下对模型漂移的抑制作用。进一步地，FedProx（动态</w:t>
      </w:r>
      <m:oMath>
        <m:r>
          <m:rPr/>
          <w:rPr>
            <w:rFonts w:hint="default" w:ascii="Cambria Math" w:hAnsi="Cambria Math"/>
          </w:rPr>
          <m:t>μ</m:t>
        </m:r>
      </m:oMath>
      <w:r>
        <w:rPr>
          <w:rFonts w:hint="eastAsia"/>
        </w:rPr>
        <w:t>）相较于固定</w:t>
      </w:r>
      <m:oMath>
        <m:r>
          <m:rPr/>
          <w:rPr>
            <w:rFonts w:hint="default" w:ascii="Cambria Math" w:hAnsi="Cambria Math"/>
            <w:sz w:val="24"/>
          </w:rPr>
          <m:t>μ</m:t>
        </m:r>
      </m:oMath>
      <w:r>
        <w:rPr>
          <w:rFonts w:hint="eastAsia"/>
        </w:rPr>
        <w:t>版本又取得了2.85个百分点的提升（71.74%→74.59%），说明动态衰减策略在训练后期释放了约束限制，使模型获得了更好的收敛精度。综合而言，动态近端约束衰减机制相较于FedAvg基线获得了4.75个百分点的净提升，其算法有效性得到了独立验证。需要指出的是，本节为控制变量条件下的算法验证实验，旨在独立评估优化算法的性能</w:t>
      </w:r>
      <w:r>
        <w:rPr>
          <w:rFonts w:hint="eastAsia"/>
          <w:lang w:eastAsia="zh-CN"/>
        </w:rPr>
        <w:t>，</w:t>
      </w:r>
      <w:r>
        <w:rPr>
          <w:rFonts w:hint="eastAsia"/>
          <w:lang w:val="en-US" w:eastAsia="zh-CN"/>
        </w:rPr>
        <w:t>无附加预训练和Mixup等配置。</w:t>
      </w:r>
    </w:p>
    <w:p w14:paraId="2FDF9B5F">
      <w:pPr>
        <w:pStyle w:val="3"/>
        <w:spacing w:before="240" w:beforeLines="100" w:after="120" w:afterLines="50"/>
        <w:ind w:firstLine="0"/>
      </w:pPr>
      <w:bookmarkStart w:id="109" w:name="_Toc23217_ai_ai"/>
      <w:bookmarkStart w:id="110" w:name="_Toc22627_ai"/>
      <w:bookmarkStart w:id="111" w:name="_Toc1307"/>
      <w:bookmarkStart w:id="112" w:name="_Toc223595401_ai_ai"/>
      <w:r>
        <w:rPr>
          <w:rFonts w:hint="eastAsia" w:ascii="Times New Roman" w:hAnsi="Times New Roman" w:eastAsia="黑体" w:cs="Times New Roman"/>
          <w:bCs/>
          <w:kern w:val="2"/>
          <w:sz w:val="30"/>
          <w:szCs w:val="32"/>
          <w:lang w:val="zh-CN" w:eastAsia="zh-CN" w:bidi="ar-SA"/>
        </w:rPr>
        <w:t>4.3 基于Crop的消融实验分析</w:t>
      </w:r>
      <w:bookmarkEnd w:id="109"/>
      <w:bookmarkEnd w:id="110"/>
      <w:bookmarkEnd w:id="111"/>
      <w:bookmarkEnd w:id="112"/>
    </w:p>
    <w:p w14:paraId="4FDADF40">
      <w:pPr>
        <w:pStyle w:val="4"/>
        <w:tabs>
          <w:tab w:val="clear" w:pos="561"/>
          <w:tab w:val="clear" w:pos="720"/>
        </w:tabs>
        <w:overflowPunct/>
        <w:spacing w:before="120" w:beforeLines="50"/>
        <w:ind w:firstLine="0"/>
        <w:jc w:val="both"/>
      </w:pPr>
      <w:bookmarkStart w:id="113" w:name="_Toc31076"/>
      <w:r>
        <w:rPr>
          <w:rFonts w:hint="eastAsia" w:ascii="Times New Roman" w:hAnsi="Times New Roman" w:eastAsia="黑体" w:cs="Times New Roman"/>
          <w:kern w:val="2"/>
          <w:sz w:val="28"/>
          <w:szCs w:val="20"/>
          <w:lang w:val="zh-CN" w:eastAsia="zh-CN" w:bidi="ar-SA"/>
        </w:rPr>
        <w:t xml:space="preserve">4.3.1 </w:t>
      </w:r>
      <w:r>
        <w:rPr>
          <w:rFonts w:hint="eastAsia" w:cs="Times New Roman"/>
          <w:kern w:val="2"/>
          <w:sz w:val="28"/>
          <w:szCs w:val="20"/>
          <w:lang w:val="en-US" w:eastAsia="zh-CN" w:bidi="ar-SA"/>
        </w:rPr>
        <w:t>FedAvg算法下的</w:t>
      </w:r>
      <w:r>
        <w:rPr>
          <w:rFonts w:hint="eastAsia" w:ascii="Times New Roman" w:hAnsi="Times New Roman" w:eastAsia="黑体" w:cs="Times New Roman"/>
          <w:kern w:val="2"/>
          <w:sz w:val="28"/>
          <w:szCs w:val="20"/>
          <w:lang w:val="zh-CN" w:eastAsia="zh-CN" w:bidi="ar-SA"/>
        </w:rPr>
        <w:t>预训练与数据增强效果</w:t>
      </w:r>
      <w:r>
        <w:rPr>
          <w:rFonts w:hint="eastAsia" w:cs="Times New Roman"/>
          <w:kern w:val="2"/>
          <w:sz w:val="28"/>
          <w:szCs w:val="20"/>
          <w:lang w:val="en-US" w:eastAsia="zh-CN" w:bidi="ar-SA"/>
        </w:rPr>
        <w:t>初步</w:t>
      </w:r>
      <w:r>
        <w:rPr>
          <w:rFonts w:hint="eastAsia" w:ascii="Times New Roman" w:hAnsi="Times New Roman" w:eastAsia="黑体" w:cs="Times New Roman"/>
          <w:kern w:val="2"/>
          <w:sz w:val="28"/>
          <w:szCs w:val="20"/>
          <w:lang w:val="zh-CN" w:eastAsia="zh-CN" w:bidi="ar-SA"/>
        </w:rPr>
        <w:t>验证</w:t>
      </w:r>
      <w:bookmarkEnd w:id="113"/>
    </w:p>
    <w:p w14:paraId="68FE3C44">
      <w:pPr>
        <w:rPr>
          <w:rFonts w:hint="eastAsia"/>
        </w:rPr>
      </w:pPr>
      <w:r>
        <w:rPr>
          <w:rFonts w:hint="eastAsia"/>
        </w:rPr>
        <w:t>本节以Crop农作物图像作为数据集，以ResNet18为主干网络，在FedAvg算法框架下验证预训练迁移与Mixup数据增强对识别性能的贡献。实验结果如表4-3所示，从表中可以看出，在不使用预训练与Mixup的条件下，FedAvg（基线组）在Crop数据集上的测试准确率仅为62.12%，这反映了联邦场景下小样本客户端从头训练的收敛困难。引入ImageNet预训练后（+pretrained组），准确率大幅提升至82.91%，增益达20.79个百分点。这是因为农作物图像（如小麦与水稻）在视觉表现上具有极高的相似性，在本地样本规模较小时，传统的随机初始化方案难以引导模型有效提取出具有辨识度的特征。通过加载ImageNet预训练权重，模型得以利用在大规模通用数据集上习得的基础视觉表达能力，将联邦微调的重心从底层的特征提取转向高层的语义分类，从而大幅降低了小样本条件下的优化难度。在预训练基础上引入Mixup（+pretrained+Mixup组），准确率进一步微升至83.05%。说明通过对图像特征与标签进行线性插值生成虚拟样本，</w:t>
      </w:r>
      <w:r>
        <w:rPr>
          <w:rFonts w:hint="eastAsia"/>
          <w:lang w:val="en-US" w:eastAsia="zh-CN"/>
        </w:rPr>
        <w:t>可以</w:t>
      </w:r>
      <w:r>
        <w:rPr>
          <w:rFonts w:hint="eastAsia"/>
        </w:rPr>
        <w:t>丰富本地客户端有限的数据分布空间</w:t>
      </w:r>
      <w:r>
        <w:rPr>
          <w:rFonts w:hint="eastAsia"/>
          <w:lang w:eastAsia="zh-CN"/>
        </w:rPr>
        <w:t>，</w:t>
      </w:r>
      <w:r>
        <w:rPr>
          <w:rFonts w:hint="eastAsia"/>
        </w:rPr>
        <w:t>这种策略在有限样本条件下具备</w:t>
      </w:r>
      <w:r>
        <w:rPr>
          <w:rFonts w:hint="eastAsia"/>
          <w:lang w:val="en-US" w:eastAsia="zh-CN"/>
        </w:rPr>
        <w:t>一定</w:t>
      </w:r>
      <w:r>
        <w:rPr>
          <w:rFonts w:hint="eastAsia"/>
        </w:rPr>
        <w:t>的改善效果。</w:t>
      </w:r>
    </w:p>
    <w:p w14:paraId="35CF3B7A">
      <w:pPr>
        <w:pStyle w:val="56"/>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rPr>
      </w:pPr>
      <w:r>
        <w:rPr>
          <w:rFonts w:hint="eastAsia"/>
        </w:rPr>
        <w:t>表4-3 FedAvg</w:t>
      </w:r>
      <w:r>
        <w:rPr>
          <w:rFonts w:hint="eastAsia"/>
          <w:lang w:val="en-US" w:eastAsia="zh-CN"/>
        </w:rPr>
        <w:t>算法</w:t>
      </w:r>
      <w:r>
        <w:rPr>
          <w:rFonts w:hint="eastAsia"/>
        </w:rPr>
        <w:t>下各组件消融实验结果</w:t>
      </w:r>
    </w:p>
    <w:tbl>
      <w:tblPr>
        <w:tblStyle w:val="34"/>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91"/>
        <w:gridCol w:w="2291"/>
        <w:gridCol w:w="2292"/>
        <w:gridCol w:w="2294"/>
      </w:tblGrid>
      <w:tr w14:paraId="4AE4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1249" w:type="pct"/>
            <w:tcBorders>
              <w:top w:val="single" w:color="000000" w:sz="12" w:space="0"/>
              <w:left w:val="nil"/>
              <w:bottom w:val="single" w:color="000000" w:sz="4" w:space="0"/>
              <w:right w:val="nil"/>
              <w:tl2br w:val="nil"/>
            </w:tcBorders>
            <w:shd w:val="clear" w:color="auto" w:fill="FFFFFF"/>
            <w:vAlign w:val="center"/>
          </w:tcPr>
          <w:p w14:paraId="503720FA">
            <w:pPr>
              <w:pStyle w:val="58"/>
              <w:bidi w:val="0"/>
              <w:jc w:val="center"/>
            </w:pPr>
            <w:r>
              <w:t>组别</w:t>
            </w:r>
          </w:p>
        </w:tc>
        <w:tc>
          <w:tcPr>
            <w:tcW w:w="1249" w:type="pct"/>
            <w:tcBorders>
              <w:top w:val="single" w:color="000000" w:sz="12" w:space="0"/>
              <w:left w:val="nil"/>
              <w:bottom w:val="single" w:color="000000" w:sz="4" w:space="0"/>
              <w:right w:val="nil"/>
            </w:tcBorders>
            <w:shd w:val="clear" w:color="auto" w:fill="FFFFFF"/>
            <w:vAlign w:val="center"/>
          </w:tcPr>
          <w:p w14:paraId="44F115B1">
            <w:pPr>
              <w:pStyle w:val="58"/>
              <w:bidi w:val="0"/>
              <w:jc w:val="center"/>
            </w:pPr>
            <w:r>
              <w:t>预训练</w:t>
            </w:r>
          </w:p>
        </w:tc>
        <w:tc>
          <w:tcPr>
            <w:tcW w:w="1249" w:type="pct"/>
            <w:tcBorders>
              <w:top w:val="single" w:color="000000" w:sz="12" w:space="0"/>
              <w:left w:val="nil"/>
              <w:bottom w:val="single" w:color="000000" w:sz="4" w:space="0"/>
              <w:right w:val="nil"/>
            </w:tcBorders>
            <w:shd w:val="clear" w:color="auto" w:fill="FFFFFF"/>
            <w:vAlign w:val="center"/>
          </w:tcPr>
          <w:p w14:paraId="4B576173">
            <w:pPr>
              <w:pStyle w:val="58"/>
              <w:bidi w:val="0"/>
              <w:jc w:val="center"/>
            </w:pPr>
            <w:r>
              <w:t>Mixup</w:t>
            </w:r>
          </w:p>
        </w:tc>
        <w:tc>
          <w:tcPr>
            <w:tcW w:w="1250" w:type="pct"/>
            <w:tcBorders>
              <w:top w:val="single" w:color="000000" w:sz="12" w:space="0"/>
              <w:left w:val="nil"/>
              <w:bottom w:val="single" w:color="000000" w:sz="4" w:space="0"/>
              <w:right w:val="nil"/>
            </w:tcBorders>
            <w:shd w:val="clear" w:color="auto" w:fill="FFFFFF"/>
            <w:vAlign w:val="center"/>
          </w:tcPr>
          <w:p w14:paraId="1DFCA803">
            <w:pPr>
              <w:pStyle w:val="58"/>
              <w:bidi w:val="0"/>
              <w:jc w:val="center"/>
            </w:pPr>
            <w:r>
              <w:rPr>
                <w:rFonts w:hint="eastAsia"/>
                <w:lang w:val="en-US" w:eastAsia="zh-CN"/>
              </w:rPr>
              <w:t>测试</w:t>
            </w:r>
            <w:r>
              <w:t>准确率（%）</w:t>
            </w:r>
          </w:p>
        </w:tc>
      </w:tr>
      <w:tr w14:paraId="212C8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49" w:type="pct"/>
            <w:tcBorders>
              <w:top w:val="single" w:color="000000" w:sz="4" w:space="0"/>
              <w:left w:val="nil"/>
              <w:bottom w:val="nil"/>
              <w:right w:val="nil"/>
            </w:tcBorders>
            <w:shd w:val="clear" w:color="auto" w:fill="FFFFFF"/>
            <w:vAlign w:val="center"/>
          </w:tcPr>
          <w:p w14:paraId="5A2DCDD2">
            <w:pPr>
              <w:pStyle w:val="58"/>
              <w:bidi w:val="0"/>
              <w:rPr>
                <w:rFonts w:hint="eastAsia" w:eastAsia="宋体"/>
                <w:b w:val="0"/>
                <w:bCs w:val="0"/>
                <w:lang w:eastAsia="zh-CN"/>
              </w:rPr>
            </w:pPr>
            <w:r>
              <w:rPr>
                <w:rFonts w:hint="eastAsia"/>
                <w:b w:val="0"/>
                <w:bCs w:val="0"/>
                <w:lang w:val="en-US" w:eastAsia="zh-CN"/>
              </w:rPr>
              <w:t>基线</w:t>
            </w:r>
          </w:p>
        </w:tc>
        <w:tc>
          <w:tcPr>
            <w:tcW w:w="1249" w:type="pct"/>
            <w:tcBorders>
              <w:top w:val="single" w:color="000000" w:sz="4" w:space="0"/>
              <w:left w:val="nil"/>
              <w:bottom w:val="nil"/>
              <w:right w:val="nil"/>
            </w:tcBorders>
            <w:shd w:val="clear" w:color="auto" w:fill="FFFFFF"/>
            <w:vAlign w:val="center"/>
          </w:tcPr>
          <w:p w14:paraId="24CD4664">
            <w:pPr>
              <w:pStyle w:val="58"/>
              <w:bidi w:val="0"/>
              <w:jc w:val="center"/>
            </w:pPr>
            <w:r>
              <w:t>×</w:t>
            </w:r>
          </w:p>
        </w:tc>
        <w:tc>
          <w:tcPr>
            <w:tcW w:w="1249" w:type="pct"/>
            <w:tcBorders>
              <w:top w:val="single" w:color="000000" w:sz="4" w:space="0"/>
              <w:left w:val="nil"/>
              <w:bottom w:val="nil"/>
              <w:right w:val="nil"/>
            </w:tcBorders>
            <w:shd w:val="clear" w:color="auto" w:fill="FFFFFF"/>
            <w:vAlign w:val="center"/>
          </w:tcPr>
          <w:p w14:paraId="1873A83A">
            <w:pPr>
              <w:pStyle w:val="58"/>
              <w:bidi w:val="0"/>
              <w:jc w:val="center"/>
            </w:pPr>
            <w:r>
              <w:t>×</w:t>
            </w:r>
          </w:p>
        </w:tc>
        <w:tc>
          <w:tcPr>
            <w:tcW w:w="1250" w:type="pct"/>
            <w:tcBorders>
              <w:top w:val="single" w:color="000000" w:sz="4" w:space="0"/>
              <w:left w:val="nil"/>
              <w:bottom w:val="nil"/>
              <w:right w:val="nil"/>
            </w:tcBorders>
            <w:shd w:val="clear" w:color="auto" w:fill="FFFFFF"/>
            <w:vAlign w:val="center"/>
          </w:tcPr>
          <w:p w14:paraId="0580A7CA">
            <w:pPr>
              <w:pStyle w:val="58"/>
              <w:bidi w:val="0"/>
              <w:jc w:val="center"/>
            </w:pPr>
            <w:r>
              <w:rPr>
                <w:rFonts w:hint="eastAsia"/>
              </w:rPr>
              <w:t>62.12</w:t>
            </w:r>
          </w:p>
        </w:tc>
      </w:tr>
      <w:tr w14:paraId="1F378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49" w:type="pct"/>
            <w:tcBorders>
              <w:top w:val="nil"/>
              <w:left w:val="nil"/>
              <w:bottom w:val="nil"/>
              <w:right w:val="nil"/>
            </w:tcBorders>
            <w:shd w:val="clear" w:color="auto" w:fill="FFFFFF"/>
            <w:vAlign w:val="center"/>
          </w:tcPr>
          <w:p w14:paraId="52FCFDB2">
            <w:pPr>
              <w:pStyle w:val="58"/>
              <w:bidi w:val="0"/>
              <w:rPr>
                <w:rFonts w:hint="eastAsia" w:eastAsia="宋体"/>
                <w:b w:val="0"/>
                <w:bCs w:val="0"/>
                <w:lang w:eastAsia="zh-CN"/>
              </w:rPr>
            </w:pPr>
            <w:r>
              <w:rPr>
                <w:b w:val="0"/>
                <w:bCs w:val="0"/>
              </w:rPr>
              <w:t>+</w:t>
            </w:r>
            <w:r>
              <w:rPr>
                <w:rFonts w:hint="eastAsia"/>
                <w:b w:val="0"/>
                <w:bCs w:val="0"/>
                <w:lang w:val="en-US" w:eastAsia="zh-CN"/>
              </w:rPr>
              <w:t>预训练</w:t>
            </w:r>
          </w:p>
        </w:tc>
        <w:tc>
          <w:tcPr>
            <w:tcW w:w="1249" w:type="pct"/>
            <w:tcBorders>
              <w:top w:val="nil"/>
              <w:left w:val="nil"/>
              <w:bottom w:val="nil"/>
              <w:right w:val="nil"/>
            </w:tcBorders>
            <w:shd w:val="clear" w:color="auto" w:fill="FFFFFF"/>
            <w:vAlign w:val="center"/>
          </w:tcPr>
          <w:p w14:paraId="30F029F8">
            <w:pPr>
              <w:pStyle w:val="58"/>
              <w:bidi w:val="0"/>
              <w:jc w:val="center"/>
            </w:pPr>
            <w:r>
              <w:t>√</w:t>
            </w:r>
          </w:p>
        </w:tc>
        <w:tc>
          <w:tcPr>
            <w:tcW w:w="1249" w:type="pct"/>
            <w:tcBorders>
              <w:top w:val="nil"/>
              <w:left w:val="nil"/>
              <w:bottom w:val="nil"/>
              <w:right w:val="nil"/>
            </w:tcBorders>
            <w:shd w:val="clear" w:color="auto" w:fill="FFFFFF"/>
            <w:vAlign w:val="center"/>
          </w:tcPr>
          <w:p w14:paraId="7D2E36AB">
            <w:pPr>
              <w:pStyle w:val="58"/>
              <w:bidi w:val="0"/>
              <w:jc w:val="center"/>
            </w:pPr>
            <w:r>
              <w:t>×</w:t>
            </w:r>
          </w:p>
        </w:tc>
        <w:tc>
          <w:tcPr>
            <w:tcW w:w="1250" w:type="pct"/>
            <w:tcBorders>
              <w:top w:val="nil"/>
              <w:left w:val="nil"/>
              <w:bottom w:val="nil"/>
              <w:right w:val="nil"/>
            </w:tcBorders>
            <w:shd w:val="clear" w:color="auto" w:fill="FFFFFF"/>
            <w:vAlign w:val="center"/>
          </w:tcPr>
          <w:p w14:paraId="68A6732F">
            <w:pPr>
              <w:pStyle w:val="58"/>
              <w:bidi w:val="0"/>
              <w:jc w:val="center"/>
            </w:pPr>
            <w:r>
              <w:rPr>
                <w:rFonts w:hint="eastAsia"/>
              </w:rPr>
              <w:t>82.91</w:t>
            </w:r>
          </w:p>
        </w:tc>
      </w:tr>
      <w:tr w14:paraId="40E99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249" w:type="pct"/>
            <w:tcBorders>
              <w:top w:val="nil"/>
              <w:left w:val="nil"/>
              <w:bottom w:val="single" w:color="000000" w:sz="12" w:space="0"/>
              <w:right w:val="nil"/>
            </w:tcBorders>
            <w:shd w:val="clear" w:color="auto" w:fill="FFFFFF"/>
            <w:vAlign w:val="center"/>
          </w:tcPr>
          <w:p w14:paraId="71C6C9D5">
            <w:pPr>
              <w:pStyle w:val="58"/>
              <w:bidi w:val="0"/>
              <w:rPr>
                <w:b w:val="0"/>
                <w:bCs w:val="0"/>
              </w:rPr>
            </w:pPr>
            <w:r>
              <w:rPr>
                <w:b w:val="0"/>
                <w:bCs w:val="0"/>
              </w:rPr>
              <w:t>+</w:t>
            </w:r>
            <w:r>
              <w:rPr>
                <w:rFonts w:hint="eastAsia"/>
                <w:b w:val="0"/>
                <w:bCs w:val="0"/>
                <w:lang w:val="en-US" w:eastAsia="zh-CN"/>
              </w:rPr>
              <w:t>预训练</w:t>
            </w:r>
            <w:r>
              <w:rPr>
                <w:b w:val="0"/>
                <w:bCs w:val="0"/>
              </w:rPr>
              <w:t>+Mixup</w:t>
            </w:r>
          </w:p>
        </w:tc>
        <w:tc>
          <w:tcPr>
            <w:tcW w:w="1249" w:type="pct"/>
            <w:tcBorders>
              <w:top w:val="nil"/>
              <w:left w:val="nil"/>
              <w:bottom w:val="single" w:color="000000" w:sz="12" w:space="0"/>
              <w:right w:val="nil"/>
            </w:tcBorders>
            <w:shd w:val="clear" w:color="auto" w:fill="FFFFFF"/>
            <w:vAlign w:val="center"/>
          </w:tcPr>
          <w:p w14:paraId="57F9BEA9">
            <w:pPr>
              <w:pStyle w:val="58"/>
              <w:bidi w:val="0"/>
              <w:jc w:val="center"/>
            </w:pPr>
            <w:r>
              <w:t>√</w:t>
            </w:r>
          </w:p>
        </w:tc>
        <w:tc>
          <w:tcPr>
            <w:tcW w:w="1249" w:type="pct"/>
            <w:tcBorders>
              <w:top w:val="nil"/>
              <w:left w:val="nil"/>
              <w:bottom w:val="single" w:color="000000" w:sz="12" w:space="0"/>
              <w:right w:val="nil"/>
            </w:tcBorders>
            <w:shd w:val="clear" w:color="auto" w:fill="FFFFFF"/>
            <w:vAlign w:val="center"/>
          </w:tcPr>
          <w:p w14:paraId="0C89852C">
            <w:pPr>
              <w:pStyle w:val="58"/>
              <w:bidi w:val="0"/>
              <w:jc w:val="center"/>
            </w:pPr>
            <w:r>
              <w:t>√</w:t>
            </w:r>
          </w:p>
        </w:tc>
        <w:tc>
          <w:tcPr>
            <w:tcW w:w="1250" w:type="pct"/>
            <w:tcBorders>
              <w:top w:val="nil"/>
              <w:left w:val="nil"/>
              <w:bottom w:val="single" w:color="000000" w:sz="12" w:space="0"/>
              <w:right w:val="nil"/>
            </w:tcBorders>
            <w:shd w:val="clear" w:color="auto" w:fill="FFFFFF"/>
            <w:vAlign w:val="center"/>
          </w:tcPr>
          <w:p w14:paraId="518BF746">
            <w:pPr>
              <w:pStyle w:val="58"/>
              <w:bidi w:val="0"/>
              <w:jc w:val="center"/>
            </w:pPr>
            <w:r>
              <w:rPr>
                <w:rFonts w:hint="eastAsia"/>
              </w:rPr>
              <w:t>83.05</w:t>
            </w:r>
          </w:p>
        </w:tc>
      </w:tr>
    </w:tbl>
    <w:p w14:paraId="38A07CDF">
      <w:pPr>
        <w:pStyle w:val="61"/>
        <w:keepNext w:val="0"/>
        <w:keepLines w:val="0"/>
        <w:pageBreakBefore w:val="0"/>
        <w:widowControl w:val="0"/>
        <w:kinsoku/>
        <w:wordWrap/>
        <w:overflowPunct/>
        <w:topLinePunct w:val="0"/>
        <w:autoSpaceDE/>
        <w:autoSpaceDN/>
        <w:bidi w:val="0"/>
        <w:adjustRightInd/>
        <w:snapToGrid/>
        <w:spacing w:after="157" w:afterLines="50"/>
        <w:textAlignment w:val="auto"/>
        <w:rPr>
          <w:lang w:val="en-US" w:eastAsia="zh-CN"/>
        </w:rPr>
      </w:pPr>
      <w:r>
        <w:rPr>
          <w:rFonts w:hint="eastAsia"/>
          <w:lang w:eastAsia="zh-CN"/>
        </w:rPr>
        <w:drawing>
          <wp:anchor distT="0" distB="0" distL="0" distR="0" simplePos="0" relativeHeight="251659264" behindDoc="1" locked="0" layoutInCell="1" allowOverlap="1">
            <wp:simplePos x="0" y="0"/>
            <wp:positionH relativeFrom="column">
              <wp:posOffset>234315</wp:posOffset>
            </wp:positionH>
            <wp:positionV relativeFrom="page">
              <wp:posOffset>1204595</wp:posOffset>
            </wp:positionV>
            <wp:extent cx="5219700" cy="3239770"/>
            <wp:effectExtent l="0" t="0" r="7620" b="6350"/>
            <wp:wrapTopAndBottom/>
            <wp:docPr id="1027" name="图片 49" descr="Image_1778429892565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49" descr="Image_1778429892565_325"/>
                    <pic:cNvPicPr>
                      <a:picLocks noChangeAspect="1"/>
                    </pic:cNvPicPr>
                  </pic:nvPicPr>
                  <pic:blipFill>
                    <a:blip r:embed="rId47" cstate="print"/>
                    <a:srcRect/>
                    <a:stretch>
                      <a:fillRect/>
                    </a:stretch>
                  </pic:blipFill>
                  <pic:spPr>
                    <a:xfrm>
                      <a:off x="0" y="0"/>
                      <a:ext cx="5219700" cy="3239770"/>
                    </a:xfrm>
                    <a:prstGeom prst="rect">
                      <a:avLst/>
                    </a:prstGeom>
                    <a:ln>
                      <a:noFill/>
                    </a:ln>
                  </pic:spPr>
                </pic:pic>
              </a:graphicData>
            </a:graphic>
          </wp:anchor>
        </w:drawing>
      </w:r>
      <w:r>
        <w:rPr>
          <w:rFonts w:hint="eastAsia"/>
        </w:rPr>
        <w:t xml:space="preserve">图 </w:t>
      </w:r>
      <w:r>
        <w:rPr>
          <w:rFonts w:hint="eastAsia"/>
          <w:lang w:val="en-US" w:eastAsia="zh-CN"/>
        </w:rPr>
        <w:t>4</w:t>
      </w:r>
      <w:r>
        <w:rPr>
          <w:rFonts w:hint="eastAsia"/>
        </w:rPr>
        <w:t>-</w:t>
      </w:r>
      <w:r>
        <w:rPr>
          <w:rFonts w:hint="eastAsia"/>
        </w:rPr>
        <w:fldChar w:fldCharType="begin"/>
      </w:r>
      <w:r>
        <w:instrText xml:space="preserve"> </w:instrText>
      </w:r>
      <w:r>
        <w:rPr>
          <w:rFonts w:hint="eastAsia"/>
        </w:rPr>
        <w:instrText xml:space="preserve">SEQ 图_1- \* ARABIC</w:instrText>
      </w:r>
      <w:r>
        <w:instrText xml:space="preserve"> </w:instrText>
      </w:r>
      <w:r>
        <w:fldChar w:fldCharType="separate"/>
      </w:r>
      <w:r>
        <w:rPr>
          <w:rFonts w:hint="eastAsia"/>
        </w:rPr>
        <w:t>1</w:t>
      </w:r>
      <w:r>
        <w:fldChar w:fldCharType="end"/>
      </w:r>
      <w:r>
        <w:t xml:space="preserve"> </w:t>
      </w:r>
      <w:r>
        <w:rPr>
          <w:rFonts w:hint="eastAsia"/>
        </w:rPr>
        <w:t>FedAvg</w:t>
      </w:r>
      <w:r>
        <w:rPr>
          <w:lang w:val="en-US" w:eastAsia="zh-CN"/>
        </w:rPr>
        <w:t>在Crop数据集上的消融结果</w:t>
      </w:r>
    </w:p>
    <w:p w14:paraId="335E61EE">
      <w:pPr>
        <w:pStyle w:val="4"/>
        <w:tabs>
          <w:tab w:val="clear" w:pos="561"/>
          <w:tab w:val="clear" w:pos="720"/>
        </w:tabs>
        <w:overflowPunct/>
        <w:spacing w:before="120" w:beforeLines="50"/>
        <w:ind w:firstLine="0"/>
        <w:jc w:val="both"/>
        <w:rPr>
          <w:rFonts w:hint="default"/>
          <w:lang w:val="en-US"/>
        </w:rPr>
      </w:pPr>
      <w:bookmarkStart w:id="114" w:name="_Toc5993_ai"/>
      <w:bookmarkStart w:id="115" w:name="_Toc20031"/>
      <w:r>
        <w:rPr>
          <w:rFonts w:hint="eastAsia" w:ascii="Times New Roman" w:hAnsi="Times New Roman" w:eastAsia="黑体" w:cs="Times New Roman"/>
          <w:kern w:val="2"/>
          <w:sz w:val="28"/>
          <w:szCs w:val="20"/>
          <w:lang w:val="zh-CN" w:eastAsia="zh-CN" w:bidi="ar-SA"/>
        </w:rPr>
        <w:t xml:space="preserve">4.3.2 </w:t>
      </w:r>
      <w:bookmarkEnd w:id="114"/>
      <w:r>
        <w:rPr>
          <w:rFonts w:hint="eastAsia" w:cs="Times New Roman"/>
          <w:kern w:val="2"/>
          <w:sz w:val="28"/>
          <w:szCs w:val="20"/>
          <w:lang w:val="en-US" w:eastAsia="zh-CN" w:bidi="ar-SA"/>
        </w:rPr>
        <w:t>FedProx算法下完整组件效果验证</w:t>
      </w:r>
      <w:bookmarkEnd w:id="115"/>
    </w:p>
    <w:p w14:paraId="71148BAC">
      <w:pPr>
        <w:rPr>
          <w:rFonts w:hint="eastAsia"/>
        </w:rPr>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r>
        <w:rPr>
          <w:rFonts w:hint="eastAsia"/>
        </w:rPr>
        <w:t>本节在FedProx</w:t>
      </w:r>
      <w:r>
        <w:rPr>
          <w:rFonts w:hint="eastAsia"/>
          <w:lang w:val="en-US" w:eastAsia="zh-CN"/>
        </w:rPr>
        <w:t>算法</w:t>
      </w:r>
      <w:r>
        <w:rPr>
          <w:rFonts w:hint="eastAsia"/>
        </w:rPr>
        <w:t>框架下评估</w:t>
      </w:r>
      <w:r>
        <w:rPr>
          <w:rFonts w:hint="eastAsia"/>
          <w:lang w:val="en-US" w:eastAsia="zh-CN"/>
        </w:rPr>
        <w:t>预训练、</w:t>
      </w:r>
      <w:r>
        <w:rPr>
          <w:rFonts w:hint="eastAsia"/>
        </w:rPr>
        <w:t>动态近端约束衰减机制（动态</w:t>
      </w:r>
      <m:oMath>
        <m:r>
          <m:rPr/>
          <w:rPr>
            <w:rFonts w:hint="default" w:ascii="Cambria Math" w:hAnsi="Cambria Math"/>
            <w:sz w:val="24"/>
          </w:rPr>
          <m:t>μ</m:t>
        </m:r>
      </m:oMath>
      <w:r>
        <w:rPr>
          <w:rFonts w:hint="eastAsia"/>
        </w:rPr>
        <w:t>）与</w:t>
      </w:r>
      <w:r>
        <w:rPr>
          <w:rFonts w:hint="eastAsia"/>
          <w:lang w:val="en-US" w:eastAsia="zh-CN"/>
        </w:rPr>
        <w:t>Mixup三</w:t>
      </w:r>
      <w:r>
        <w:rPr>
          <w:rFonts w:hint="eastAsia"/>
        </w:rPr>
        <w:t>组件在Crop数据集上的协同效果。实验以逐步叠加的方式从最简配置推进至完整配置，结果如表4-4所示。从消融结果可以看出，无预训练条件下FedProx（基线组）的准确率仅为</w:t>
      </w:r>
      <w:r>
        <w:rPr>
          <w:rFonts w:hint="eastAsia"/>
          <w:lang w:val="en-US" w:eastAsia="zh-CN"/>
        </w:rPr>
        <w:t>62.25</w:t>
      </w:r>
      <w:r>
        <w:rPr>
          <w:rFonts w:hint="eastAsia"/>
        </w:rPr>
        <w:t>%，在缺少预训练提供有意义初始化的情况下，</w:t>
      </w:r>
      <w:r>
        <w:rPr>
          <w:rFonts w:hint="eastAsia"/>
          <w:lang w:val="en-US" w:eastAsia="zh-CN"/>
        </w:rPr>
        <w:t>模型对Non-IID分布数据集特征提取能力严重受限</w:t>
      </w:r>
      <w:r>
        <w:rPr>
          <w:rFonts w:hint="eastAsia"/>
        </w:rPr>
        <w:t>。加入预训练后（+pretrained组），准确率跃升至</w:t>
      </w:r>
      <w:r>
        <w:rPr>
          <w:rFonts w:hint="eastAsia"/>
          <w:lang w:val="en-US" w:eastAsia="zh-CN"/>
        </w:rPr>
        <w:t>85.30</w:t>
      </w:r>
      <w:r>
        <w:rPr>
          <w:rFonts w:hint="eastAsia"/>
        </w:rPr>
        <w:t>%，预训练为小样本条件下模型的收敛提供了必要前提。在预训练基础上引入动态</w:t>
      </w:r>
      <m:oMath>
        <m:r>
          <m:rPr/>
          <w:rPr>
            <w:rFonts w:hint="default" w:ascii="Cambria Math" w:hAnsi="Cambria Math"/>
            <w:sz w:val="24"/>
          </w:rPr>
          <m:t>μ</m:t>
        </m:r>
      </m:oMath>
      <w:r>
        <w:rPr>
          <w:rFonts w:hint="eastAsia"/>
        </w:rPr>
        <w:t xml:space="preserve">衰减（+pretrained+decay </w:t>
      </w:r>
      <m:oMath>
        <m:r>
          <m:rPr/>
          <w:rPr>
            <w:rFonts w:hint="default" w:ascii="Cambria Math" w:hAnsi="Cambria Math"/>
            <w:sz w:val="24"/>
          </w:rPr>
          <m:t>μ</m:t>
        </m:r>
      </m:oMath>
      <w:r>
        <w:rPr>
          <w:rFonts w:hint="eastAsia"/>
        </w:rPr>
        <w:t>组），准确率提升至</w:t>
      </w:r>
      <w:r>
        <w:rPr>
          <w:rFonts w:hint="eastAsia"/>
          <w:lang w:val="en-US" w:eastAsia="zh-CN"/>
        </w:rPr>
        <w:t>85.70</w:t>
      </w:r>
      <w:r>
        <w:rPr>
          <w:rFonts w:hint="eastAsia"/>
        </w:rPr>
        <w:t xml:space="preserve">%，验证了动态约束衰减在训练后期释放拟合空间的增益效果。进一步加入Mixup后的完整配置（+pretrained+decay </w:t>
      </w:r>
      <m:oMath>
        <m:r>
          <m:rPr/>
          <w:rPr>
            <w:rFonts w:hint="default" w:ascii="Cambria Math" w:hAnsi="Cambria Math"/>
            <w:sz w:val="24"/>
          </w:rPr>
          <m:t>μ</m:t>
        </m:r>
      </m:oMath>
      <w:r>
        <w:rPr>
          <w:rFonts w:hint="eastAsia"/>
        </w:rPr>
        <w:t>+Mixup组）取得</w:t>
      </w:r>
      <w:r>
        <w:rPr>
          <w:rFonts w:hint="eastAsia"/>
          <w:lang w:val="en-US" w:eastAsia="zh-CN"/>
        </w:rPr>
        <w:t>86.62</w:t>
      </w:r>
      <w:r>
        <w:rPr>
          <w:rFonts w:hint="eastAsia"/>
        </w:rPr>
        <w:t>%的最高准确率，在Crop数据集上实现了三组件的充分协同。综合表4-3与表4-4的结果，在相同预训练+Mixup条件下，FedProx</w:t>
      </w:r>
      <w:r>
        <w:rPr>
          <w:rFonts w:hint="eastAsia"/>
          <w:lang w:eastAsia="zh-CN"/>
        </w:rPr>
        <w:t>（</w:t>
      </w:r>
      <w:r>
        <w:rPr>
          <w:rFonts w:hint="eastAsia"/>
          <w:lang w:val="en-US" w:eastAsia="zh-CN"/>
        </w:rPr>
        <w:t>动态</w:t>
      </w:r>
      <m:oMath>
        <m:r>
          <m:rPr/>
          <w:rPr>
            <w:rFonts w:hint="default" w:ascii="Cambria Math" w:hAnsi="Cambria Math"/>
            <w:sz w:val="24"/>
          </w:rPr>
          <m:t>μ</m:t>
        </m:r>
      </m:oMath>
      <w:r>
        <w:rPr>
          <w:rFonts w:hint="eastAsia"/>
          <w:lang w:val="en-US" w:eastAsia="zh-CN"/>
        </w:rPr>
        <w:t>)算法准确率</w:t>
      </w:r>
      <w:r>
        <w:rPr>
          <w:rFonts w:hint="eastAsia"/>
        </w:rPr>
        <w:t>（</w:t>
      </w:r>
      <w:r>
        <w:rPr>
          <w:rFonts w:hint="eastAsia"/>
          <w:lang w:val="en-US" w:eastAsia="zh-CN"/>
        </w:rPr>
        <w:t>86.62</w:t>
      </w:r>
      <w:r>
        <w:rPr>
          <w:rFonts w:hint="eastAsia"/>
        </w:rPr>
        <w:t>%）优于FedAvg</w:t>
      </w:r>
      <w:r>
        <w:rPr>
          <w:rFonts w:hint="eastAsia"/>
          <w:lang w:val="en-US" w:eastAsia="zh-CN"/>
        </w:rPr>
        <w:t>算法准确率</w:t>
      </w:r>
      <w:r>
        <w:rPr>
          <w:rFonts w:hint="eastAsia"/>
        </w:rPr>
        <w:t>（</w:t>
      </w:r>
      <w:r>
        <w:rPr>
          <w:rFonts w:hint="eastAsia"/>
          <w:lang w:val="en-US" w:eastAsia="zh-CN"/>
        </w:rPr>
        <w:t>83.05</w:t>
      </w:r>
      <w:r>
        <w:rPr>
          <w:rFonts w:hint="eastAsia"/>
        </w:rPr>
        <w:t>%）。从单项增益幅度看，预训练迁移贡献最为显著；动态</w:t>
      </w:r>
      <m:oMath>
        <m:r>
          <m:rPr/>
          <w:rPr>
            <w:rFonts w:hint="default" w:ascii="Cambria Math" w:hAnsi="Cambria Math"/>
            <w:sz w:val="24"/>
          </w:rPr>
          <m:t>μ</m:t>
        </m:r>
      </m:oMath>
      <w:r>
        <w:rPr>
          <w:rFonts w:hint="eastAsia"/>
        </w:rPr>
        <w:t>衰减与Mixup增强在预训练基础上提供进一步增益，二者主要体现为对 Non-IID 聚合稳定性和小样本泛化能力的补充优化。</w:t>
      </w:r>
    </w:p>
    <w:p w14:paraId="64634275">
      <w:pPr>
        <w:pStyle w:val="56"/>
        <w:keepNext w:val="0"/>
        <w:keepLines w:val="0"/>
        <w:pageBreakBefore w:val="0"/>
        <w:widowControl w:val="0"/>
        <w:kinsoku/>
        <w:wordWrap/>
        <w:overflowPunct/>
        <w:topLinePunct w:val="0"/>
        <w:autoSpaceDE/>
        <w:autoSpaceDN/>
        <w:bidi w:val="0"/>
        <w:adjustRightInd/>
        <w:snapToGrid/>
        <w:spacing w:after="157" w:afterLines="50"/>
        <w:textAlignment w:val="auto"/>
      </w:pPr>
      <w:r>
        <w:rPr>
          <w:rFonts w:hint="eastAsia"/>
        </w:rPr>
        <w:t>表4-4 FedProx</w:t>
      </w:r>
      <w:r>
        <w:rPr>
          <w:rFonts w:hint="eastAsia"/>
          <w:lang w:val="en-US" w:eastAsia="zh-CN"/>
        </w:rPr>
        <w:t>算法</w:t>
      </w:r>
      <w:r>
        <w:rPr>
          <w:rFonts w:hint="eastAsia"/>
        </w:rPr>
        <w:t>下各组件消融实验结果</w:t>
      </w:r>
    </w:p>
    <w:tbl>
      <w:tblPr>
        <w:tblStyle w:val="34"/>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3"/>
        <w:gridCol w:w="1833"/>
        <w:gridCol w:w="1833"/>
        <w:gridCol w:w="1833"/>
        <w:gridCol w:w="1835"/>
      </w:tblGrid>
      <w:tr w14:paraId="13E4D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999" w:type="pct"/>
            <w:tcBorders>
              <w:top w:val="single" w:color="000000" w:sz="12" w:space="0"/>
              <w:left w:val="nil"/>
              <w:bottom w:val="single" w:color="000000" w:sz="4" w:space="0"/>
              <w:right w:val="nil"/>
              <w:tl2br w:val="nil"/>
            </w:tcBorders>
            <w:shd w:val="clear" w:color="auto" w:fill="FFFFFF"/>
            <w:vAlign w:val="center"/>
          </w:tcPr>
          <w:p w14:paraId="7ACEB16A">
            <w:pPr>
              <w:pStyle w:val="58"/>
              <w:bidi w:val="0"/>
              <w:jc w:val="center"/>
            </w:pPr>
            <w:r>
              <w:t>组别</w:t>
            </w:r>
          </w:p>
        </w:tc>
        <w:tc>
          <w:tcPr>
            <w:tcW w:w="999" w:type="pct"/>
            <w:tcBorders>
              <w:top w:val="single" w:color="000000" w:sz="12" w:space="0"/>
              <w:left w:val="nil"/>
              <w:bottom w:val="single" w:color="000000" w:sz="4" w:space="0"/>
              <w:right w:val="nil"/>
            </w:tcBorders>
            <w:shd w:val="clear" w:color="auto" w:fill="FFFFFF"/>
            <w:vAlign w:val="center"/>
          </w:tcPr>
          <w:p w14:paraId="715BD720">
            <w:pPr>
              <w:pStyle w:val="58"/>
              <w:bidi w:val="0"/>
              <w:jc w:val="center"/>
            </w:pPr>
            <w:r>
              <w:t>预训练</w:t>
            </w:r>
          </w:p>
        </w:tc>
        <w:tc>
          <w:tcPr>
            <w:tcW w:w="999" w:type="pct"/>
            <w:tcBorders>
              <w:top w:val="single" w:color="000000" w:sz="12" w:space="0"/>
              <w:left w:val="nil"/>
              <w:bottom w:val="single" w:color="000000" w:sz="4" w:space="0"/>
              <w:right w:val="nil"/>
            </w:tcBorders>
            <w:shd w:val="clear" w:color="auto" w:fill="FFFFFF"/>
            <w:vAlign w:val="center"/>
          </w:tcPr>
          <w:p w14:paraId="5B60F5C3">
            <w:pPr>
              <w:pStyle w:val="58"/>
              <w:bidi w:val="0"/>
              <w:jc w:val="center"/>
            </w:pPr>
            <w:r>
              <w:t>动态</w:t>
            </w:r>
            <m:oMath>
              <m:r>
                <m:rPr/>
                <w:rPr>
                  <w:rFonts w:hint="default" w:ascii="Cambria Math" w:hAnsi="Cambria Math"/>
                  <w:sz w:val="21"/>
                </w:rPr>
                <m:t>μ</m:t>
              </m:r>
            </m:oMath>
          </w:p>
        </w:tc>
        <w:tc>
          <w:tcPr>
            <w:tcW w:w="999" w:type="pct"/>
            <w:tcBorders>
              <w:top w:val="single" w:color="000000" w:sz="12" w:space="0"/>
              <w:left w:val="nil"/>
              <w:bottom w:val="single" w:color="000000" w:sz="4" w:space="0"/>
              <w:right w:val="nil"/>
            </w:tcBorders>
            <w:shd w:val="clear" w:color="auto" w:fill="FFFFFF"/>
            <w:vAlign w:val="center"/>
          </w:tcPr>
          <w:p w14:paraId="75A2F069">
            <w:pPr>
              <w:pStyle w:val="58"/>
              <w:bidi w:val="0"/>
              <w:jc w:val="center"/>
            </w:pPr>
            <w:r>
              <w:t>Mixup</w:t>
            </w:r>
          </w:p>
        </w:tc>
        <w:tc>
          <w:tcPr>
            <w:tcW w:w="1000" w:type="pct"/>
            <w:tcBorders>
              <w:top w:val="single" w:color="000000" w:sz="12" w:space="0"/>
              <w:left w:val="nil"/>
              <w:bottom w:val="single" w:color="000000" w:sz="4" w:space="0"/>
              <w:right w:val="nil"/>
            </w:tcBorders>
            <w:shd w:val="clear" w:color="auto" w:fill="FFFFFF"/>
            <w:vAlign w:val="center"/>
          </w:tcPr>
          <w:p w14:paraId="3D934545">
            <w:pPr>
              <w:pStyle w:val="58"/>
              <w:bidi w:val="0"/>
              <w:jc w:val="center"/>
            </w:pPr>
            <w:r>
              <w:rPr>
                <w:rFonts w:hint="eastAsia"/>
                <w:lang w:val="en-US" w:eastAsia="zh-CN"/>
              </w:rPr>
              <w:t>测试</w:t>
            </w:r>
            <w:r>
              <w:t>准确率（%）</w:t>
            </w:r>
          </w:p>
        </w:tc>
      </w:tr>
      <w:tr w14:paraId="28461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99" w:type="pct"/>
            <w:tcBorders>
              <w:top w:val="single" w:color="000000" w:sz="4" w:space="0"/>
              <w:left w:val="nil"/>
              <w:bottom w:val="nil"/>
              <w:right w:val="nil"/>
            </w:tcBorders>
            <w:shd w:val="clear" w:color="auto" w:fill="FFFFFF"/>
            <w:vAlign w:val="center"/>
          </w:tcPr>
          <w:p w14:paraId="52F1B4D9">
            <w:pPr>
              <w:pStyle w:val="58"/>
              <w:bidi w:val="0"/>
              <w:rPr>
                <w:rFonts w:hint="eastAsia" w:eastAsia="宋体"/>
                <w:b w:val="0"/>
                <w:bCs w:val="0"/>
                <w:lang w:eastAsia="zh-CN"/>
              </w:rPr>
            </w:pPr>
            <w:r>
              <w:rPr>
                <w:rFonts w:hint="eastAsia"/>
                <w:b w:val="0"/>
                <w:bCs w:val="0"/>
                <w:lang w:val="en-US" w:eastAsia="zh-CN"/>
              </w:rPr>
              <w:t>基线</w:t>
            </w:r>
          </w:p>
        </w:tc>
        <w:tc>
          <w:tcPr>
            <w:tcW w:w="999" w:type="pct"/>
            <w:tcBorders>
              <w:top w:val="single" w:color="000000" w:sz="4" w:space="0"/>
              <w:left w:val="nil"/>
              <w:bottom w:val="nil"/>
              <w:right w:val="nil"/>
            </w:tcBorders>
            <w:shd w:val="clear" w:color="auto" w:fill="FFFFFF"/>
            <w:vAlign w:val="center"/>
          </w:tcPr>
          <w:p w14:paraId="1830C558">
            <w:pPr>
              <w:pStyle w:val="58"/>
              <w:bidi w:val="0"/>
              <w:jc w:val="center"/>
              <w:rPr>
                <w:b/>
                <w:bCs/>
              </w:rPr>
            </w:pPr>
            <w:r>
              <w:rPr>
                <w:b/>
                <w:bCs/>
              </w:rPr>
              <w:t>×</w:t>
            </w:r>
          </w:p>
        </w:tc>
        <w:tc>
          <w:tcPr>
            <w:tcW w:w="999" w:type="pct"/>
            <w:tcBorders>
              <w:top w:val="single" w:color="000000" w:sz="4" w:space="0"/>
              <w:left w:val="nil"/>
              <w:bottom w:val="nil"/>
              <w:right w:val="nil"/>
            </w:tcBorders>
            <w:shd w:val="clear" w:color="auto" w:fill="FFFFFF"/>
            <w:vAlign w:val="center"/>
          </w:tcPr>
          <w:p w14:paraId="72815323">
            <w:pPr>
              <w:pStyle w:val="58"/>
              <w:bidi w:val="0"/>
              <w:jc w:val="center"/>
              <w:rPr>
                <w:b/>
                <w:bCs/>
              </w:rPr>
            </w:pPr>
            <w:r>
              <w:rPr>
                <w:b/>
                <w:bCs/>
              </w:rPr>
              <w:t>×</w:t>
            </w:r>
          </w:p>
        </w:tc>
        <w:tc>
          <w:tcPr>
            <w:tcW w:w="999" w:type="pct"/>
            <w:tcBorders>
              <w:top w:val="single" w:color="000000" w:sz="4" w:space="0"/>
              <w:left w:val="nil"/>
              <w:bottom w:val="nil"/>
              <w:right w:val="nil"/>
            </w:tcBorders>
            <w:shd w:val="clear" w:color="auto" w:fill="FFFFFF"/>
            <w:vAlign w:val="center"/>
          </w:tcPr>
          <w:p w14:paraId="2F5D8F2D">
            <w:pPr>
              <w:pStyle w:val="58"/>
              <w:bidi w:val="0"/>
              <w:jc w:val="center"/>
              <w:rPr>
                <w:b/>
                <w:bCs/>
              </w:rPr>
            </w:pPr>
            <w:r>
              <w:rPr>
                <w:b/>
                <w:bCs/>
              </w:rPr>
              <w:t>×</w:t>
            </w:r>
          </w:p>
        </w:tc>
        <w:tc>
          <w:tcPr>
            <w:tcW w:w="1000" w:type="pct"/>
            <w:tcBorders>
              <w:top w:val="single" w:color="000000" w:sz="4" w:space="0"/>
              <w:left w:val="nil"/>
              <w:bottom w:val="nil"/>
              <w:right w:val="nil"/>
            </w:tcBorders>
            <w:shd w:val="clear" w:color="auto" w:fill="FFFFFF"/>
            <w:vAlign w:val="center"/>
          </w:tcPr>
          <w:p w14:paraId="0EA6B9A9">
            <w:pPr>
              <w:pStyle w:val="58"/>
              <w:bidi w:val="0"/>
              <w:jc w:val="center"/>
            </w:pPr>
            <w:r>
              <w:rPr>
                <w:rFonts w:hint="eastAsia"/>
              </w:rPr>
              <w:t>62</w:t>
            </w:r>
            <w:r>
              <w:rPr>
                <w:rFonts w:hint="eastAsia"/>
                <w:lang w:val="en-US" w:eastAsia="zh-CN"/>
              </w:rPr>
              <w:t>.2</w:t>
            </w:r>
            <w:r>
              <w:rPr>
                <w:rFonts w:hint="eastAsia"/>
              </w:rPr>
              <w:t>5</w:t>
            </w:r>
          </w:p>
        </w:tc>
      </w:tr>
      <w:tr w14:paraId="1AC2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99" w:type="pct"/>
            <w:tcBorders>
              <w:top w:val="nil"/>
              <w:left w:val="nil"/>
              <w:bottom w:val="nil"/>
              <w:right w:val="nil"/>
            </w:tcBorders>
            <w:shd w:val="clear" w:color="auto" w:fill="FFFFFF"/>
            <w:vAlign w:val="center"/>
          </w:tcPr>
          <w:p w14:paraId="51732EF0">
            <w:pPr>
              <w:pStyle w:val="58"/>
              <w:bidi w:val="0"/>
              <w:rPr>
                <w:rFonts w:hint="eastAsia" w:eastAsia="宋体"/>
                <w:b w:val="0"/>
                <w:bCs w:val="0"/>
                <w:lang w:eastAsia="zh-CN"/>
              </w:rPr>
            </w:pPr>
            <w:r>
              <w:rPr>
                <w:b w:val="0"/>
                <w:bCs w:val="0"/>
              </w:rPr>
              <w:t>+</w:t>
            </w:r>
            <w:r>
              <w:rPr>
                <w:rFonts w:hint="eastAsia"/>
                <w:b w:val="0"/>
                <w:bCs w:val="0"/>
                <w:lang w:val="en-US" w:eastAsia="zh-CN"/>
              </w:rPr>
              <w:t>预训练</w:t>
            </w:r>
          </w:p>
        </w:tc>
        <w:tc>
          <w:tcPr>
            <w:tcW w:w="999" w:type="pct"/>
            <w:tcBorders>
              <w:top w:val="nil"/>
              <w:left w:val="nil"/>
              <w:bottom w:val="nil"/>
              <w:right w:val="nil"/>
            </w:tcBorders>
            <w:shd w:val="clear" w:color="auto" w:fill="FFFFFF"/>
            <w:vAlign w:val="center"/>
          </w:tcPr>
          <w:p w14:paraId="79866FE0">
            <w:pPr>
              <w:pStyle w:val="58"/>
              <w:bidi w:val="0"/>
              <w:jc w:val="center"/>
              <w:rPr>
                <w:b/>
                <w:bCs/>
              </w:rPr>
            </w:pPr>
            <w:r>
              <w:rPr>
                <w:b w:val="0"/>
                <w:bCs w:val="0"/>
              </w:rPr>
              <w:t>√</w:t>
            </w:r>
          </w:p>
        </w:tc>
        <w:tc>
          <w:tcPr>
            <w:tcW w:w="999" w:type="pct"/>
            <w:tcBorders>
              <w:top w:val="nil"/>
              <w:left w:val="nil"/>
              <w:bottom w:val="nil"/>
              <w:right w:val="nil"/>
            </w:tcBorders>
            <w:shd w:val="clear" w:color="auto" w:fill="FFFFFF"/>
            <w:vAlign w:val="center"/>
          </w:tcPr>
          <w:p w14:paraId="3440D2B7">
            <w:pPr>
              <w:pStyle w:val="58"/>
              <w:bidi w:val="0"/>
              <w:jc w:val="center"/>
              <w:rPr>
                <w:b/>
                <w:bCs/>
              </w:rPr>
            </w:pPr>
            <w:r>
              <w:rPr>
                <w:b/>
                <w:bCs/>
              </w:rPr>
              <w:t>×</w:t>
            </w:r>
          </w:p>
        </w:tc>
        <w:tc>
          <w:tcPr>
            <w:tcW w:w="999" w:type="pct"/>
            <w:tcBorders>
              <w:top w:val="nil"/>
              <w:left w:val="nil"/>
              <w:bottom w:val="nil"/>
              <w:right w:val="nil"/>
            </w:tcBorders>
            <w:shd w:val="clear" w:color="auto" w:fill="FFFFFF"/>
            <w:vAlign w:val="center"/>
          </w:tcPr>
          <w:p w14:paraId="66633855">
            <w:pPr>
              <w:pStyle w:val="58"/>
              <w:bidi w:val="0"/>
              <w:jc w:val="center"/>
              <w:rPr>
                <w:b/>
                <w:bCs/>
              </w:rPr>
            </w:pPr>
            <w:r>
              <w:rPr>
                <w:b/>
                <w:bCs/>
              </w:rPr>
              <w:t>×</w:t>
            </w:r>
          </w:p>
        </w:tc>
        <w:tc>
          <w:tcPr>
            <w:tcW w:w="1000" w:type="pct"/>
            <w:tcBorders>
              <w:top w:val="nil"/>
              <w:left w:val="nil"/>
              <w:bottom w:val="nil"/>
              <w:right w:val="nil"/>
            </w:tcBorders>
            <w:shd w:val="clear" w:color="auto" w:fill="FFFFFF"/>
            <w:vAlign w:val="center"/>
          </w:tcPr>
          <w:p w14:paraId="539C2702">
            <w:pPr>
              <w:pStyle w:val="58"/>
              <w:bidi w:val="0"/>
              <w:jc w:val="center"/>
            </w:pPr>
            <w:r>
              <w:rPr>
                <w:rFonts w:hint="eastAsia"/>
              </w:rPr>
              <w:t>85</w:t>
            </w:r>
            <w:r>
              <w:rPr>
                <w:rFonts w:hint="eastAsia"/>
                <w:lang w:val="en-US" w:eastAsia="zh-CN"/>
              </w:rPr>
              <w:t>.</w:t>
            </w:r>
            <w:r>
              <w:rPr>
                <w:rFonts w:hint="eastAsia"/>
              </w:rPr>
              <w:t>30</w:t>
            </w:r>
          </w:p>
        </w:tc>
      </w:tr>
      <w:tr w14:paraId="2FCE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99" w:type="pct"/>
            <w:tcBorders>
              <w:top w:val="nil"/>
              <w:left w:val="nil"/>
              <w:bottom w:val="nil"/>
              <w:right w:val="nil"/>
            </w:tcBorders>
            <w:shd w:val="clear" w:color="auto" w:fill="FFFFFF"/>
            <w:vAlign w:val="center"/>
          </w:tcPr>
          <w:p w14:paraId="7B12FC1C">
            <w:pPr>
              <w:pStyle w:val="58"/>
              <w:bidi w:val="0"/>
              <w:rPr>
                <w:b w:val="0"/>
                <w:bCs w:val="0"/>
              </w:rPr>
            </w:pPr>
            <w:r>
              <w:rPr>
                <w:b w:val="0"/>
                <w:bCs w:val="0"/>
              </w:rPr>
              <w:t>+</w:t>
            </w:r>
            <w:r>
              <w:rPr>
                <w:rFonts w:hint="eastAsia"/>
                <w:b w:val="0"/>
                <w:bCs w:val="0"/>
                <w:lang w:val="en-US" w:eastAsia="zh-CN"/>
              </w:rPr>
              <w:t>预训练</w:t>
            </w:r>
            <w:r>
              <w:rPr>
                <w:b w:val="0"/>
                <w:bCs w:val="0"/>
              </w:rPr>
              <w:t>+</w:t>
            </w:r>
            <w:r>
              <w:rPr>
                <w:rFonts w:hint="eastAsia"/>
                <w:b w:val="0"/>
                <w:bCs w:val="0"/>
                <w:lang w:val="en-US" w:eastAsia="zh-CN"/>
              </w:rPr>
              <w:t>动态</w:t>
            </w:r>
            <m:oMath>
              <m:r>
                <m:rPr/>
                <w:rPr>
                  <w:rFonts w:hint="default" w:ascii="Cambria Math" w:hAnsi="Cambria Math"/>
                  <w:sz w:val="21"/>
                </w:rPr>
                <m:t>μ</m:t>
              </m:r>
            </m:oMath>
          </w:p>
        </w:tc>
        <w:tc>
          <w:tcPr>
            <w:tcW w:w="999" w:type="pct"/>
            <w:tcBorders>
              <w:top w:val="nil"/>
              <w:left w:val="nil"/>
              <w:bottom w:val="nil"/>
              <w:right w:val="nil"/>
            </w:tcBorders>
            <w:shd w:val="clear" w:color="auto" w:fill="FFFFFF"/>
            <w:vAlign w:val="center"/>
          </w:tcPr>
          <w:p w14:paraId="48E1088A">
            <w:pPr>
              <w:pStyle w:val="58"/>
              <w:bidi w:val="0"/>
              <w:jc w:val="center"/>
              <w:rPr>
                <w:b/>
                <w:bCs/>
              </w:rPr>
            </w:pPr>
            <w:r>
              <w:rPr>
                <w:b/>
                <w:bCs/>
              </w:rPr>
              <w:t>√</w:t>
            </w:r>
          </w:p>
        </w:tc>
        <w:tc>
          <w:tcPr>
            <w:tcW w:w="999" w:type="pct"/>
            <w:tcBorders>
              <w:top w:val="nil"/>
              <w:left w:val="nil"/>
              <w:bottom w:val="nil"/>
              <w:right w:val="nil"/>
            </w:tcBorders>
            <w:shd w:val="clear" w:color="auto" w:fill="FFFFFF"/>
            <w:vAlign w:val="center"/>
          </w:tcPr>
          <w:p w14:paraId="249F2D68">
            <w:pPr>
              <w:pStyle w:val="58"/>
              <w:bidi w:val="0"/>
              <w:jc w:val="center"/>
              <w:rPr>
                <w:b/>
                <w:bCs/>
              </w:rPr>
            </w:pPr>
            <w:r>
              <w:rPr>
                <w:b/>
                <w:bCs/>
              </w:rPr>
              <w:t>√</w:t>
            </w:r>
          </w:p>
        </w:tc>
        <w:tc>
          <w:tcPr>
            <w:tcW w:w="999" w:type="pct"/>
            <w:tcBorders>
              <w:top w:val="nil"/>
              <w:left w:val="nil"/>
              <w:bottom w:val="nil"/>
              <w:right w:val="nil"/>
            </w:tcBorders>
            <w:shd w:val="clear" w:color="auto" w:fill="FFFFFF"/>
            <w:vAlign w:val="center"/>
          </w:tcPr>
          <w:p w14:paraId="4976A0F5">
            <w:pPr>
              <w:pStyle w:val="58"/>
              <w:bidi w:val="0"/>
              <w:jc w:val="center"/>
              <w:rPr>
                <w:b/>
                <w:bCs/>
              </w:rPr>
            </w:pPr>
            <w:r>
              <w:rPr>
                <w:b/>
                <w:bCs/>
              </w:rPr>
              <w:t>×</w:t>
            </w:r>
          </w:p>
        </w:tc>
        <w:tc>
          <w:tcPr>
            <w:tcW w:w="1000" w:type="pct"/>
            <w:tcBorders>
              <w:top w:val="nil"/>
              <w:left w:val="nil"/>
              <w:bottom w:val="nil"/>
              <w:right w:val="nil"/>
            </w:tcBorders>
            <w:shd w:val="clear" w:color="auto" w:fill="FFFFFF"/>
            <w:vAlign w:val="center"/>
          </w:tcPr>
          <w:p w14:paraId="26F25641">
            <w:pPr>
              <w:pStyle w:val="58"/>
              <w:bidi w:val="0"/>
              <w:jc w:val="center"/>
            </w:pPr>
            <w:r>
              <w:rPr>
                <w:rFonts w:hint="eastAsia"/>
              </w:rPr>
              <w:t>85</w:t>
            </w:r>
            <w:r>
              <w:rPr>
                <w:rFonts w:hint="eastAsia"/>
                <w:lang w:val="en-US" w:eastAsia="zh-CN"/>
              </w:rPr>
              <w:t>.</w:t>
            </w:r>
            <w:r>
              <w:rPr>
                <w:rFonts w:hint="eastAsia"/>
              </w:rPr>
              <w:t>70</w:t>
            </w:r>
          </w:p>
        </w:tc>
      </w:tr>
      <w:tr w14:paraId="7C64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99" w:type="pct"/>
            <w:tcBorders>
              <w:top w:val="nil"/>
              <w:left w:val="nil"/>
              <w:bottom w:val="single" w:color="000000" w:sz="12" w:space="0"/>
              <w:right w:val="nil"/>
            </w:tcBorders>
            <w:shd w:val="clear" w:color="auto" w:fill="FFFFFF"/>
            <w:vAlign w:val="center"/>
          </w:tcPr>
          <w:p w14:paraId="4D1182AE">
            <w:pPr>
              <w:pStyle w:val="58"/>
              <w:keepNext w:val="0"/>
              <w:keepLines w:val="0"/>
              <w:pageBreakBefore w:val="0"/>
              <w:widowControl/>
              <w:kinsoku/>
              <w:wordWrap w:val="0"/>
              <w:overflowPunct/>
              <w:topLinePunct w:val="0"/>
              <w:autoSpaceDE/>
              <w:autoSpaceDN/>
              <w:bidi w:val="0"/>
              <w:adjustRightInd/>
              <w:snapToGrid/>
              <w:textAlignment w:val="auto"/>
              <w:rPr>
                <w:b w:val="0"/>
                <w:bCs w:val="0"/>
              </w:rPr>
            </w:pPr>
            <w:r>
              <w:rPr>
                <w:b w:val="0"/>
                <w:bCs w:val="0"/>
              </w:rPr>
              <w:t>+</w:t>
            </w:r>
            <w:r>
              <w:rPr>
                <w:rFonts w:hint="eastAsia"/>
                <w:b w:val="0"/>
                <w:bCs w:val="0"/>
                <w:lang w:val="en-US" w:eastAsia="zh-CN"/>
              </w:rPr>
              <w:t>预训练</w:t>
            </w:r>
            <w:r>
              <w:rPr>
                <w:b w:val="0"/>
                <w:bCs w:val="0"/>
              </w:rPr>
              <w:t>+</w:t>
            </w:r>
            <w:r>
              <w:rPr>
                <w:rFonts w:hint="eastAsia"/>
                <w:b w:val="0"/>
                <w:bCs w:val="0"/>
                <w:lang w:val="en-US" w:eastAsia="zh-CN"/>
              </w:rPr>
              <w:t>动态</w:t>
            </w:r>
            <m:oMath>
              <m:r>
                <m:rPr/>
                <w:rPr>
                  <w:rFonts w:hint="default" w:ascii="Cambria Math" w:hAnsi="Cambria Math"/>
                  <w:sz w:val="21"/>
                </w:rPr>
                <m:t>μ</m:t>
              </m:r>
            </m:oMath>
            <w:r>
              <w:rPr>
                <w:b w:val="0"/>
                <w:bCs w:val="0"/>
              </w:rPr>
              <w:t>+Mixup</w:t>
            </w:r>
          </w:p>
        </w:tc>
        <w:tc>
          <w:tcPr>
            <w:tcW w:w="999" w:type="pct"/>
            <w:tcBorders>
              <w:top w:val="nil"/>
              <w:left w:val="nil"/>
              <w:bottom w:val="single" w:color="000000" w:sz="12" w:space="0"/>
              <w:right w:val="nil"/>
            </w:tcBorders>
            <w:shd w:val="clear" w:color="auto" w:fill="FFFFFF"/>
            <w:vAlign w:val="center"/>
          </w:tcPr>
          <w:p w14:paraId="0343A073">
            <w:pPr>
              <w:pStyle w:val="58"/>
              <w:bidi w:val="0"/>
              <w:jc w:val="center"/>
              <w:rPr>
                <w:b/>
                <w:bCs/>
              </w:rPr>
            </w:pPr>
            <w:r>
              <w:rPr>
                <w:b/>
                <w:bCs/>
              </w:rPr>
              <w:t>√</w:t>
            </w:r>
          </w:p>
        </w:tc>
        <w:tc>
          <w:tcPr>
            <w:tcW w:w="999" w:type="pct"/>
            <w:tcBorders>
              <w:top w:val="nil"/>
              <w:left w:val="nil"/>
              <w:bottom w:val="single" w:color="000000" w:sz="12" w:space="0"/>
              <w:right w:val="nil"/>
            </w:tcBorders>
            <w:shd w:val="clear" w:color="auto" w:fill="FFFFFF"/>
            <w:vAlign w:val="center"/>
          </w:tcPr>
          <w:p w14:paraId="0C7E2E1E">
            <w:pPr>
              <w:pStyle w:val="58"/>
              <w:bidi w:val="0"/>
              <w:jc w:val="center"/>
              <w:rPr>
                <w:b/>
                <w:bCs/>
              </w:rPr>
            </w:pPr>
            <w:r>
              <w:rPr>
                <w:b/>
                <w:bCs/>
              </w:rPr>
              <w:t>√</w:t>
            </w:r>
          </w:p>
        </w:tc>
        <w:tc>
          <w:tcPr>
            <w:tcW w:w="999" w:type="pct"/>
            <w:tcBorders>
              <w:top w:val="nil"/>
              <w:left w:val="nil"/>
              <w:bottom w:val="single" w:color="000000" w:sz="12" w:space="0"/>
              <w:right w:val="nil"/>
            </w:tcBorders>
            <w:shd w:val="clear" w:color="auto" w:fill="FFFFFF"/>
            <w:vAlign w:val="center"/>
          </w:tcPr>
          <w:p w14:paraId="7A7E33A7">
            <w:pPr>
              <w:pStyle w:val="58"/>
              <w:bidi w:val="0"/>
              <w:jc w:val="center"/>
              <w:rPr>
                <w:b/>
                <w:bCs/>
              </w:rPr>
            </w:pPr>
            <w:r>
              <w:rPr>
                <w:b/>
                <w:bCs/>
              </w:rPr>
              <w:t>√</w:t>
            </w:r>
          </w:p>
        </w:tc>
        <w:tc>
          <w:tcPr>
            <w:tcW w:w="1000" w:type="pct"/>
            <w:tcBorders>
              <w:top w:val="nil"/>
              <w:left w:val="nil"/>
              <w:bottom w:val="single" w:color="000000" w:sz="12" w:space="0"/>
              <w:right w:val="nil"/>
            </w:tcBorders>
            <w:shd w:val="clear" w:color="auto" w:fill="FFFFFF"/>
            <w:vAlign w:val="center"/>
          </w:tcPr>
          <w:p w14:paraId="6A9B6AC7">
            <w:pPr>
              <w:pStyle w:val="58"/>
              <w:bidi w:val="0"/>
              <w:jc w:val="center"/>
            </w:pPr>
            <w:r>
              <w:rPr>
                <w:rFonts w:hint="eastAsia"/>
              </w:rPr>
              <w:t>86</w:t>
            </w:r>
            <w:r>
              <w:rPr>
                <w:rFonts w:hint="eastAsia"/>
                <w:lang w:val="en-US" w:eastAsia="zh-CN"/>
              </w:rPr>
              <w:t>.</w:t>
            </w:r>
            <w:r>
              <w:rPr>
                <w:rFonts w:hint="eastAsia"/>
              </w:rPr>
              <w:t>62</w:t>
            </w:r>
          </w:p>
        </w:tc>
      </w:tr>
    </w:tbl>
    <w:p w14:paraId="1E560FC6">
      <w:pPr>
        <w:pStyle w:val="57"/>
        <w:bidi w:val="0"/>
        <w:rPr>
          <w:rFonts w:hint="eastAsia"/>
        </w:rPr>
      </w:pPr>
      <w:r>
        <w:rPr>
          <w:rFonts w:hint="eastAsia"/>
        </w:rPr>
        <w:t>注：动态</w:t>
      </w:r>
      <m:oMath>
        <m:r>
          <m:rPr/>
          <w:rPr>
            <w:rFonts w:hint="default" w:ascii="Cambria Math" w:hAnsi="Cambria Math" w:cs="Cambria Math"/>
          </w:rPr>
          <m:t>μ</m:t>
        </m:r>
      </m:oMath>
      <w:r>
        <w:rPr>
          <w:rFonts w:hint="eastAsia"/>
        </w:rPr>
        <w:t>为本文提出的衰减</w:t>
      </w:r>
      <m:oMath>
        <m:r>
          <m:rPr>
            <m:nor/>
          </m:rPr>
          <w:rPr>
            <w:rFonts w:hint="default" w:ascii="Times New Roman" w:hAnsi="Times New Roman" w:cs="Times New Roman"/>
            <w:i/>
          </w:rPr>
          <m:t>μ</m:t>
        </m:r>
      </m:oMath>
      <w:r>
        <w:rPr>
          <w:rFonts w:hint="eastAsia"/>
        </w:rPr>
        <w:t>策略</w:t>
      </w:r>
      <w:r>
        <w:rPr>
          <w:rFonts w:hint="eastAsia" w:eastAsia="宋体"/>
          <w:lang w:eastAsia="zh-CN"/>
        </w:rPr>
        <w:drawing>
          <wp:anchor distT="0" distB="0" distL="114300" distR="114300" simplePos="0" relativeHeight="251662336" behindDoc="0" locked="0" layoutInCell="1" allowOverlap="1">
            <wp:simplePos x="0" y="0"/>
            <wp:positionH relativeFrom="column">
              <wp:posOffset>234315</wp:posOffset>
            </wp:positionH>
            <wp:positionV relativeFrom="page">
              <wp:posOffset>3514725</wp:posOffset>
            </wp:positionV>
            <wp:extent cx="5219700" cy="3239770"/>
            <wp:effectExtent l="0" t="0" r="7620" b="6350"/>
            <wp:wrapTopAndBottom/>
            <wp:docPr id="10" name="图片 10" descr="table2_crop_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able2_crop_prox"/>
                    <pic:cNvPicPr>
                      <a:picLocks noChangeAspect="1"/>
                    </pic:cNvPicPr>
                  </pic:nvPicPr>
                  <pic:blipFill>
                    <a:blip r:embed="rId48"/>
                    <a:stretch>
                      <a:fillRect/>
                    </a:stretch>
                  </pic:blipFill>
                  <pic:spPr>
                    <a:xfrm>
                      <a:off x="0" y="0"/>
                      <a:ext cx="5219700" cy="3239770"/>
                    </a:xfrm>
                    <a:prstGeom prst="rect">
                      <a:avLst/>
                    </a:prstGeom>
                  </pic:spPr>
                </pic:pic>
              </a:graphicData>
            </a:graphic>
          </wp:anchor>
        </w:drawing>
      </w:r>
      <w:r>
        <w:rPr>
          <w:rFonts w:hint="eastAsia"/>
          <w:lang w:eastAsia="zh-CN"/>
        </w:rPr>
        <w:t>。</w:t>
      </w:r>
    </w:p>
    <w:p w14:paraId="56AD4C4D">
      <w:pPr>
        <w:pStyle w:val="61"/>
        <w:bidi w:val="0"/>
        <w:rPr>
          <w:rFonts w:hint="eastAsia"/>
        </w:rPr>
      </w:pPr>
      <w:r>
        <w:rPr>
          <w:rFonts w:hint="eastAsia"/>
        </w:rPr>
        <w:t xml:space="preserve">图 </w:t>
      </w:r>
      <w:r>
        <w:rPr>
          <w:rFonts w:hint="eastAsia"/>
          <w:lang w:val="en-US" w:eastAsia="zh-CN"/>
        </w:rPr>
        <w:t>4</w:t>
      </w:r>
      <w:r>
        <w:rPr>
          <w:rFonts w:hint="eastAsia"/>
        </w:rPr>
        <w:t>-</w:t>
      </w:r>
      <w:r>
        <w:rPr>
          <w:rFonts w:hint="eastAsia"/>
          <w:lang w:val="en-US" w:eastAsia="zh-CN"/>
        </w:rPr>
        <w:t>2</w:t>
      </w:r>
      <w:r>
        <w:t xml:space="preserve"> </w:t>
      </w:r>
      <w:r>
        <w:rPr>
          <w:rFonts w:hint="eastAsia"/>
        </w:rPr>
        <w:t>FedProx在Crop数据集上的消融结果</w:t>
      </w:r>
    </w:p>
    <w:p w14:paraId="46D9E450">
      <w:pPr>
        <w:pStyle w:val="4"/>
        <w:tabs>
          <w:tab w:val="clear" w:pos="561"/>
          <w:tab w:val="clear" w:pos="720"/>
        </w:tabs>
        <w:overflowPunct/>
        <w:spacing w:before="120" w:beforeLines="50"/>
        <w:ind w:firstLine="0" w:firstLineChars="0"/>
        <w:jc w:val="both"/>
      </w:pPr>
      <w:bookmarkStart w:id="116" w:name="_Toc4003"/>
      <w:bookmarkStart w:id="117" w:name="_Toc20153"/>
      <w:r>
        <w:rPr>
          <w:rFonts w:hint="eastAsia" w:ascii="Times New Roman" w:hAnsi="Times New Roman" w:eastAsia="黑体" w:cs="Times New Roman"/>
          <w:kern w:val="2"/>
          <w:sz w:val="28"/>
          <w:szCs w:val="20"/>
          <w:lang w:val="zh-CN" w:eastAsia="zh-CN" w:bidi="ar-SA"/>
        </w:rPr>
        <w:t>4.3.</w:t>
      </w:r>
      <w:r>
        <w:rPr>
          <w:rFonts w:hint="eastAsia" w:cs="Times New Roman"/>
          <w:kern w:val="2"/>
          <w:sz w:val="28"/>
          <w:szCs w:val="20"/>
          <w:lang w:val="en-US" w:eastAsia="zh-CN" w:bidi="ar-SA"/>
        </w:rPr>
        <w:t>3</w:t>
      </w:r>
      <w:r>
        <w:rPr>
          <w:rFonts w:hint="eastAsia" w:ascii="Times New Roman" w:hAnsi="Times New Roman" w:eastAsia="黑体" w:cs="Times New Roman"/>
          <w:kern w:val="2"/>
          <w:sz w:val="28"/>
          <w:szCs w:val="20"/>
          <w:lang w:val="zh-CN" w:eastAsia="zh-CN" w:bidi="ar-SA"/>
        </w:rPr>
        <w:t xml:space="preserve"> 主干网络对比与</w:t>
      </w:r>
      <w:r>
        <w:rPr>
          <w:rFonts w:hint="eastAsia" w:cs="Times New Roman"/>
          <w:kern w:val="2"/>
          <w:sz w:val="28"/>
          <w:szCs w:val="20"/>
          <w:lang w:val="en-US" w:eastAsia="zh-CN" w:bidi="ar-SA"/>
        </w:rPr>
        <w:t>泛化能力</w:t>
      </w:r>
      <w:r>
        <w:rPr>
          <w:rFonts w:hint="eastAsia" w:ascii="Times New Roman" w:hAnsi="Times New Roman" w:eastAsia="黑体" w:cs="Times New Roman"/>
          <w:kern w:val="2"/>
          <w:sz w:val="28"/>
          <w:szCs w:val="20"/>
          <w:lang w:val="zh-CN" w:eastAsia="zh-CN" w:bidi="ar-SA"/>
        </w:rPr>
        <w:t>分析</w:t>
      </w:r>
      <w:bookmarkEnd w:id="116"/>
      <w:bookmarkEnd w:id="117"/>
    </w:p>
    <w:p w14:paraId="2D4707D0">
      <w:pPr>
        <w:ind w:firstLine="480"/>
        <w:rPr>
          <w:rFonts w:hint="eastAsia"/>
        </w:rPr>
      </w:pPr>
      <w:r>
        <w:rPr>
          <w:rFonts w:hint="eastAsia"/>
        </w:rPr>
        <w:t>表4-5呈现了MobileNetV2与ResNet18在相同完整方案配置下的综合性能对比。为了全面评估模型的鲁棒性与实际应用价值，本节设计了跨数据源的交叉验证。测试不仅在包含755张样本的标准测试集上进行，还额外从网络</w:t>
      </w:r>
      <w:r>
        <w:rPr>
          <w:rFonts w:hint="eastAsia"/>
          <w:lang w:val="en-US" w:eastAsia="zh-CN"/>
        </w:rPr>
        <w:t>爬取</w:t>
      </w:r>
      <w:r>
        <w:rPr>
          <w:rFonts w:hint="eastAsia"/>
        </w:rPr>
        <w:t>了300张</w:t>
      </w:r>
      <w:r>
        <w:rPr>
          <w:rFonts w:hint="eastAsia"/>
          <w:lang w:val="en-US" w:eastAsia="zh-CN"/>
        </w:rPr>
        <w:t>农作物</w:t>
      </w:r>
      <w:r>
        <w:rPr>
          <w:rFonts w:hint="eastAsia"/>
        </w:rPr>
        <w:t>图片（包含</w:t>
      </w:r>
      <w:r>
        <w:rPr>
          <w:rFonts w:hint="eastAsia"/>
          <w:lang w:val="en-US" w:eastAsia="zh-CN"/>
        </w:rPr>
        <w:t>小麦、玉米、水稻</w:t>
      </w:r>
      <w:r>
        <w:rPr>
          <w:rFonts w:hint="eastAsia"/>
        </w:rPr>
        <w:t>3个类别，每类各100张）构建了扩展泛化集。</w:t>
      </w:r>
    </w:p>
    <w:p w14:paraId="1BFD94E0">
      <w:pPr>
        <w:ind w:firstLine="480"/>
        <w:rPr>
          <w:rFonts w:hint="eastAsia"/>
        </w:rPr>
      </w:pPr>
      <w:r>
        <w:rPr>
          <w:rFonts w:hint="eastAsia"/>
        </w:rPr>
        <w:t>从识别准确率来看，两种主干网络在不同数据源上均表现出较高的精度，差距保持在5个百分点以内，表明本文所提的联邦优化策略具有良好的跨网络架构普适性。值得关注的是，模型在扩展泛化集上的准确率（MobileNetV2为91.00%，ResNet18为87.67%）略高于标准测试集。这一结果表明，模型在扩展泛化集上未出现明显性能下降，对不同光照和背景条件下的农作物图像具有一定适应能力。但由于扩展泛化集规模仍相对有限（仅300张），且</w:t>
      </w:r>
      <w:r>
        <w:rPr>
          <w:rFonts w:hint="eastAsia"/>
          <w:lang w:val="en-US" w:eastAsia="zh-CN"/>
        </w:rPr>
        <w:t>图像质量相对较高</w:t>
      </w:r>
      <w:r>
        <w:rPr>
          <w:rFonts w:hint="eastAsia"/>
        </w:rPr>
        <w:t>，后续</w:t>
      </w:r>
      <w:r>
        <w:rPr>
          <w:rFonts w:hint="eastAsia"/>
          <w:lang w:val="en-US" w:eastAsia="zh-CN"/>
        </w:rPr>
        <w:t>有待</w:t>
      </w:r>
      <w:r>
        <w:rPr>
          <w:rFonts w:hint="eastAsia"/>
        </w:rPr>
        <w:t>在更大规模真实田间图像上进一步验证模型的泛化能力。</w:t>
      </w:r>
    </w:p>
    <w:p w14:paraId="40ECAF27">
      <w:pPr>
        <w:ind w:firstLine="480"/>
        <w:rPr>
          <w:rFonts w:hint="eastAsia"/>
        </w:rPr>
      </w:pPr>
      <w:r>
        <w:rPr>
          <w:rFonts w:hint="eastAsia"/>
        </w:rPr>
        <w:t>在效率评估方面，MobileNetV2与ResNet18的单样本前向推理时间均保持在8 ms左右。虽然在推理阶段两者耗时相近，且图像的预处理环节占据了主要的运算时间（约34~35 ms），综合来看，MobileNetV2凭借其深度可分离卷积在参数量和模型体积上的轻量化优势，结合其在泛化集上</w:t>
      </w:r>
      <w:r>
        <w:rPr>
          <w:rFonts w:hint="eastAsia"/>
          <w:lang w:val="en-US" w:eastAsia="zh-CN"/>
        </w:rPr>
        <w:t>可</w:t>
      </w:r>
      <w:r>
        <w:rPr>
          <w:rFonts w:hint="eastAsia"/>
        </w:rPr>
        <w:t>达91.00%的准确率和更高的置信度（0.86），在</w:t>
      </w:r>
      <w:r>
        <w:rPr>
          <w:rFonts w:hint="eastAsia"/>
          <w:lang w:val="en-US" w:eastAsia="zh-CN"/>
        </w:rPr>
        <w:t>小样本</w:t>
      </w:r>
      <w:r>
        <w:rPr>
          <w:rFonts w:hint="eastAsia"/>
        </w:rPr>
        <w:t>边缘端实时农业识别应用中展现出更高的整体</w:t>
      </w:r>
      <w:r>
        <w:rPr>
          <w:rFonts w:hint="eastAsia"/>
          <w:lang w:val="en-US" w:eastAsia="zh-CN"/>
        </w:rPr>
        <w:t>识别</w:t>
      </w:r>
      <w:r>
        <w:rPr>
          <w:rFonts w:hint="eastAsia"/>
        </w:rPr>
        <w:t>优势。</w:t>
      </w:r>
    </w:p>
    <w:p w14:paraId="1AD0D68C">
      <w:pPr>
        <w:pStyle w:val="56"/>
        <w:keepNext w:val="0"/>
        <w:keepLines w:val="0"/>
        <w:pageBreakBefore w:val="0"/>
        <w:widowControl w:val="0"/>
        <w:kinsoku/>
        <w:wordWrap/>
        <w:overflowPunct/>
        <w:topLinePunct w:val="0"/>
        <w:autoSpaceDE/>
        <w:autoSpaceDN/>
        <w:bidi w:val="0"/>
        <w:adjustRightInd/>
        <w:snapToGrid/>
        <w:spacing w:after="157" w:afterLines="50"/>
        <w:textAlignment w:val="auto"/>
        <w:rPr>
          <w:rFonts w:hint="eastAsia"/>
        </w:rPr>
      </w:pPr>
      <w:r>
        <w:rPr>
          <w:rFonts w:hint="eastAsia"/>
        </w:rPr>
        <w:t>表4-</w:t>
      </w:r>
      <w:r>
        <w:rPr>
          <w:rFonts w:hint="eastAsia"/>
          <w:lang w:val="en-US" w:eastAsia="zh-CN"/>
        </w:rPr>
        <w:t>5</w:t>
      </w:r>
      <w:r>
        <w:rPr>
          <w:rFonts w:hint="eastAsia"/>
        </w:rPr>
        <w:t xml:space="preserve"> </w:t>
      </w:r>
      <w:r>
        <w:rPr>
          <w:rFonts w:hint="eastAsia"/>
          <w:lang w:val="en-US" w:eastAsia="zh-CN"/>
        </w:rPr>
        <w:t>两种模型</w:t>
      </w:r>
      <w:r>
        <w:rPr>
          <w:rFonts w:hint="eastAsia"/>
        </w:rPr>
        <w:t>完整方案的识别性能</w:t>
      </w:r>
    </w:p>
    <w:tbl>
      <w:tblPr>
        <w:tblStyle w:val="34"/>
        <w:tblW w:w="4998" w:type="pct"/>
        <w:jc w:val="center"/>
        <w:tblBorders>
          <w:top w:val="single" w:color="C0C1C6" w:sz="2" w:space="0"/>
          <w:left w:val="single" w:color="C0C1C6" w:sz="2" w:space="0"/>
          <w:bottom w:val="single" w:color="C0C1C6" w:sz="2" w:space="0"/>
          <w:right w:val="single" w:color="C0C1C6"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99"/>
        <w:gridCol w:w="1003"/>
        <w:gridCol w:w="1003"/>
        <w:gridCol w:w="1023"/>
        <w:gridCol w:w="1008"/>
        <w:gridCol w:w="1008"/>
        <w:gridCol w:w="1017"/>
        <w:gridCol w:w="1523"/>
      </w:tblGrid>
      <w:tr w14:paraId="6E22EE39">
        <w:tblPrEx>
          <w:tblBorders>
            <w:top w:val="single" w:color="C0C1C6" w:sz="2" w:space="0"/>
            <w:left w:val="single" w:color="C0C1C6" w:sz="2" w:space="0"/>
            <w:bottom w:val="single" w:color="C0C1C6" w:sz="2" w:space="0"/>
            <w:right w:val="single" w:color="C0C1C6" w:sz="2" w:space="0"/>
            <w:insideH w:val="none" w:color="auto" w:sz="0" w:space="0"/>
            <w:insideV w:val="none" w:color="auto" w:sz="0" w:space="0"/>
          </w:tblBorders>
          <w:tblCellMar>
            <w:top w:w="15" w:type="dxa"/>
            <w:left w:w="15" w:type="dxa"/>
            <w:bottom w:w="15" w:type="dxa"/>
            <w:right w:w="15" w:type="dxa"/>
          </w:tblCellMar>
        </w:tblPrEx>
        <w:trPr>
          <w:trHeight w:val="567" w:hRule="atLeast"/>
          <w:tblHeader/>
          <w:jc w:val="center"/>
        </w:trPr>
        <w:tc>
          <w:tcPr>
            <w:tcW w:w="778" w:type="pct"/>
            <w:vMerge w:val="restart"/>
            <w:tcBorders>
              <w:top w:val="single" w:color="000000" w:sz="12" w:space="0"/>
              <w:left w:val="nil"/>
              <w:bottom w:val="single" w:color="000000" w:sz="4" w:space="0"/>
              <w:right w:val="nil"/>
            </w:tcBorders>
            <w:shd w:val="clear" w:color="auto" w:fill="FFFFFF"/>
            <w:vAlign w:val="center"/>
          </w:tcPr>
          <w:p w14:paraId="6197C791">
            <w:pPr>
              <w:pStyle w:val="58"/>
              <w:bidi w:val="0"/>
            </w:pPr>
            <w:r>
              <w:rPr>
                <w:rFonts w:hint="default"/>
                <w:lang w:val="en-US" w:eastAsia="zh-CN"/>
              </w:rPr>
              <w:t>主干网络</w:t>
            </w:r>
          </w:p>
        </w:tc>
        <w:tc>
          <w:tcPr>
            <w:tcW w:w="1685" w:type="pct"/>
            <w:gridSpan w:val="3"/>
            <w:tcBorders>
              <w:top w:val="single" w:color="000000" w:sz="12" w:space="0"/>
              <w:left w:val="nil"/>
              <w:bottom w:val="single" w:color="000000" w:sz="4" w:space="0"/>
              <w:right w:val="nil"/>
            </w:tcBorders>
            <w:shd w:val="clear" w:color="auto" w:fill="FFFFFF"/>
            <w:vAlign w:val="center"/>
          </w:tcPr>
          <w:p w14:paraId="46FE52D7">
            <w:pPr>
              <w:pStyle w:val="58"/>
              <w:bidi w:val="0"/>
              <w:rPr>
                <w:rFonts w:hint="default"/>
              </w:rPr>
            </w:pPr>
            <w:r>
              <w:rPr>
                <w:rFonts w:hint="eastAsia"/>
                <w:lang w:val="en-US" w:eastAsia="zh-CN"/>
              </w:rPr>
              <w:t>标准测试集</w:t>
            </w:r>
          </w:p>
        </w:tc>
        <w:tc>
          <w:tcPr>
            <w:tcW w:w="2535" w:type="pct"/>
            <w:gridSpan w:val="4"/>
            <w:tcBorders>
              <w:top w:val="single" w:color="000000" w:sz="12" w:space="0"/>
              <w:left w:val="nil"/>
              <w:bottom w:val="single" w:color="000000" w:sz="4" w:space="0"/>
              <w:right w:val="nil"/>
            </w:tcBorders>
            <w:shd w:val="clear" w:color="auto" w:fill="FFFFFF"/>
            <w:vAlign w:val="center"/>
          </w:tcPr>
          <w:p w14:paraId="6E383B10">
            <w:pPr>
              <w:pStyle w:val="58"/>
              <w:bidi w:val="0"/>
              <w:rPr>
                <w:rFonts w:hint="default"/>
                <w:lang w:val="en-US" w:eastAsia="zh-CN"/>
              </w:rPr>
            </w:pPr>
            <w:r>
              <w:rPr>
                <w:rFonts w:hint="eastAsia"/>
                <w:lang w:val="en-US" w:eastAsia="zh-CN"/>
              </w:rPr>
              <w:t>扩展泛化集</w:t>
            </w:r>
          </w:p>
        </w:tc>
      </w:tr>
      <w:tr w14:paraId="2A964809">
        <w:tblPrEx>
          <w:tblBorders>
            <w:top w:val="single" w:color="C0C1C6" w:sz="2" w:space="0"/>
            <w:left w:val="single" w:color="C0C1C6" w:sz="2" w:space="0"/>
            <w:bottom w:val="single" w:color="C0C1C6" w:sz="2" w:space="0"/>
            <w:right w:val="single" w:color="C0C1C6"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67" w:hRule="atLeast"/>
          <w:tblHeader/>
          <w:jc w:val="center"/>
        </w:trPr>
        <w:tc>
          <w:tcPr>
            <w:tcW w:w="778" w:type="pct"/>
            <w:vMerge w:val="continue"/>
            <w:tcBorders>
              <w:top w:val="single" w:color="000000" w:sz="4" w:space="0"/>
              <w:left w:val="nil"/>
              <w:bottom w:val="single" w:color="000000" w:sz="8" w:space="0"/>
              <w:right w:val="nil"/>
            </w:tcBorders>
            <w:shd w:val="clear" w:color="auto" w:fill="FFFFFF"/>
            <w:vAlign w:val="center"/>
          </w:tcPr>
          <w:p w14:paraId="428E317B">
            <w:pPr>
              <w:pStyle w:val="58"/>
              <w:bidi w:val="0"/>
              <w:rPr>
                <w:rFonts w:hint="default"/>
                <w:lang w:val="en-US" w:eastAsia="zh-CN"/>
              </w:rPr>
            </w:pPr>
          </w:p>
        </w:tc>
        <w:tc>
          <w:tcPr>
            <w:tcW w:w="558" w:type="pct"/>
            <w:tcBorders>
              <w:top w:val="single" w:color="000000" w:sz="4" w:space="0"/>
              <w:left w:val="nil"/>
              <w:bottom w:val="single" w:color="000000" w:sz="8" w:space="0"/>
              <w:right w:val="nil"/>
            </w:tcBorders>
            <w:shd w:val="clear" w:color="auto" w:fill="FFFFFF"/>
            <w:vAlign w:val="center"/>
          </w:tcPr>
          <w:p w14:paraId="4A65FEC2">
            <w:pPr>
              <w:pStyle w:val="58"/>
              <w:bidi w:val="0"/>
              <w:rPr>
                <w:rFonts w:hint="default"/>
                <w:lang w:val="en-US" w:eastAsia="zh-CN"/>
              </w:rPr>
            </w:pPr>
            <w:r>
              <w:rPr>
                <w:rFonts w:hint="default"/>
                <w:lang w:val="en-US" w:eastAsia="zh-CN"/>
              </w:rPr>
              <w:t>准确率</w:t>
            </w:r>
          </w:p>
        </w:tc>
        <w:tc>
          <w:tcPr>
            <w:tcW w:w="558" w:type="pct"/>
            <w:tcBorders>
              <w:top w:val="single" w:color="000000" w:sz="4" w:space="0"/>
              <w:left w:val="nil"/>
              <w:bottom w:val="single" w:color="000000" w:sz="8" w:space="0"/>
              <w:right w:val="nil"/>
            </w:tcBorders>
            <w:shd w:val="clear" w:color="auto" w:fill="FFFFFF"/>
            <w:vAlign w:val="center"/>
          </w:tcPr>
          <w:p w14:paraId="1AAFF344">
            <w:pPr>
              <w:pStyle w:val="58"/>
              <w:bidi w:val="0"/>
              <w:rPr>
                <w:rFonts w:hint="default"/>
                <w:lang w:val="en-US" w:eastAsia="zh-CN"/>
              </w:rPr>
            </w:pPr>
            <w:r>
              <w:rPr>
                <w:rFonts w:hint="default"/>
                <w:lang w:val="en-US" w:eastAsia="zh-CN"/>
              </w:rPr>
              <w:t>置信度</w:t>
            </w:r>
          </w:p>
        </w:tc>
        <w:tc>
          <w:tcPr>
            <w:tcW w:w="568" w:type="pct"/>
            <w:tcBorders>
              <w:top w:val="single" w:color="000000" w:sz="4" w:space="0"/>
              <w:left w:val="nil"/>
              <w:bottom w:val="single" w:color="000000" w:sz="8" w:space="0"/>
              <w:right w:val="nil"/>
            </w:tcBorders>
            <w:shd w:val="clear" w:color="auto" w:fill="FFFFFF"/>
            <w:vAlign w:val="center"/>
          </w:tcPr>
          <w:p w14:paraId="3C6B7623">
            <w:pPr>
              <w:pStyle w:val="58"/>
              <w:bidi w:val="0"/>
              <w:rPr>
                <w:rFonts w:hint="eastAsia"/>
                <w:lang w:val="en-US" w:eastAsia="zh-CN"/>
              </w:rPr>
            </w:pPr>
            <w:r>
              <w:rPr>
                <w:rFonts w:hint="default"/>
                <w:lang w:val="en-US" w:eastAsia="zh-CN"/>
              </w:rPr>
              <w:t>推理时间</w:t>
            </w:r>
          </w:p>
        </w:tc>
        <w:tc>
          <w:tcPr>
            <w:tcW w:w="561" w:type="pct"/>
            <w:tcBorders>
              <w:top w:val="single" w:color="000000" w:sz="4" w:space="0"/>
              <w:left w:val="nil"/>
              <w:bottom w:val="single" w:color="000000" w:sz="8" w:space="0"/>
              <w:right w:val="nil"/>
            </w:tcBorders>
            <w:shd w:val="clear" w:color="auto" w:fill="FFFFFF"/>
            <w:vAlign w:val="center"/>
          </w:tcPr>
          <w:p w14:paraId="4A0D6C59">
            <w:pPr>
              <w:pStyle w:val="58"/>
              <w:bidi w:val="0"/>
              <w:rPr>
                <w:rFonts w:hint="eastAsia"/>
                <w:lang w:val="en-US" w:eastAsia="zh-CN"/>
              </w:rPr>
            </w:pPr>
            <w:r>
              <w:rPr>
                <w:rFonts w:hint="default"/>
                <w:lang w:val="en-US" w:eastAsia="zh-CN"/>
              </w:rPr>
              <w:t>准确率</w:t>
            </w:r>
          </w:p>
        </w:tc>
        <w:tc>
          <w:tcPr>
            <w:tcW w:w="561" w:type="pct"/>
            <w:tcBorders>
              <w:top w:val="single" w:color="000000" w:sz="4" w:space="0"/>
              <w:left w:val="nil"/>
              <w:bottom w:val="single" w:color="000000" w:sz="8" w:space="0"/>
              <w:right w:val="nil"/>
            </w:tcBorders>
            <w:shd w:val="clear" w:color="auto" w:fill="FFFFFF"/>
            <w:vAlign w:val="center"/>
          </w:tcPr>
          <w:p w14:paraId="3466F03D">
            <w:pPr>
              <w:pStyle w:val="58"/>
              <w:bidi w:val="0"/>
              <w:rPr>
                <w:rFonts w:hint="eastAsia"/>
                <w:lang w:val="en-US" w:eastAsia="zh-CN"/>
              </w:rPr>
            </w:pPr>
            <w:r>
              <w:rPr>
                <w:rFonts w:hint="default"/>
                <w:lang w:val="en-US" w:eastAsia="zh-CN"/>
              </w:rPr>
              <w:t>置信度</w:t>
            </w:r>
          </w:p>
        </w:tc>
        <w:tc>
          <w:tcPr>
            <w:tcW w:w="566" w:type="pct"/>
            <w:tcBorders>
              <w:top w:val="single" w:color="000000" w:sz="4" w:space="0"/>
              <w:left w:val="nil"/>
              <w:bottom w:val="single" w:color="000000" w:sz="8" w:space="0"/>
              <w:right w:val="nil"/>
            </w:tcBorders>
            <w:shd w:val="clear" w:color="auto" w:fill="FFFFFF"/>
            <w:vAlign w:val="center"/>
          </w:tcPr>
          <w:p w14:paraId="167F325B">
            <w:pPr>
              <w:pStyle w:val="58"/>
              <w:bidi w:val="0"/>
              <w:rPr>
                <w:rFonts w:hint="eastAsia"/>
                <w:lang w:val="en-US" w:eastAsia="zh-CN"/>
              </w:rPr>
            </w:pPr>
            <w:r>
              <w:rPr>
                <w:rFonts w:hint="default"/>
                <w:lang w:val="en-US" w:eastAsia="zh-CN"/>
              </w:rPr>
              <w:t>推理时间</w:t>
            </w:r>
          </w:p>
        </w:tc>
        <w:tc>
          <w:tcPr>
            <w:tcW w:w="845" w:type="pct"/>
            <w:tcBorders>
              <w:top w:val="single" w:color="000000" w:sz="4" w:space="0"/>
              <w:left w:val="nil"/>
              <w:bottom w:val="single" w:color="000000" w:sz="8" w:space="0"/>
              <w:right w:val="nil"/>
            </w:tcBorders>
            <w:shd w:val="clear" w:color="auto" w:fill="FFFFFF"/>
            <w:vAlign w:val="center"/>
          </w:tcPr>
          <w:p w14:paraId="724E345E">
            <w:pPr>
              <w:pStyle w:val="58"/>
              <w:bidi w:val="0"/>
              <w:rPr>
                <w:rFonts w:hint="default"/>
                <w:lang w:val="en-US" w:eastAsia="zh-CN"/>
              </w:rPr>
            </w:pPr>
            <w:r>
              <w:rPr>
                <w:rFonts w:hint="eastAsia"/>
                <w:lang w:val="en-US" w:eastAsia="zh-CN"/>
              </w:rPr>
              <w:t>预处理时间</w:t>
            </w:r>
          </w:p>
        </w:tc>
      </w:tr>
      <w:tr w14:paraId="5DA27C70">
        <w:tblPrEx>
          <w:tblBorders>
            <w:top w:val="single" w:color="C0C1C6" w:sz="2" w:space="0"/>
            <w:left w:val="single" w:color="C0C1C6" w:sz="2" w:space="0"/>
            <w:bottom w:val="single" w:color="E5E7EB" w:sz="4" w:space="0"/>
            <w:right w:val="single" w:color="C0C1C6"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67" w:hRule="atLeast"/>
          <w:jc w:val="center"/>
        </w:trPr>
        <w:tc>
          <w:tcPr>
            <w:tcW w:w="778" w:type="pct"/>
            <w:tcBorders>
              <w:top w:val="single" w:color="000000" w:sz="8" w:space="0"/>
              <w:left w:val="nil"/>
              <w:bottom w:val="nil"/>
              <w:right w:val="nil"/>
            </w:tcBorders>
            <w:shd w:val="clear" w:color="auto" w:fill="FFFFFF"/>
            <w:vAlign w:val="center"/>
          </w:tcPr>
          <w:p w14:paraId="2B5A6E43">
            <w:pPr>
              <w:pStyle w:val="58"/>
              <w:bidi w:val="0"/>
              <w:rPr>
                <w:rFonts w:hint="default"/>
              </w:rPr>
            </w:pPr>
            <w:r>
              <w:rPr>
                <w:rFonts w:hint="default"/>
                <w:lang w:val="en-US" w:eastAsia="zh-CN"/>
              </w:rPr>
              <w:t>MobileNetV2</w:t>
            </w:r>
          </w:p>
        </w:tc>
        <w:tc>
          <w:tcPr>
            <w:tcW w:w="558" w:type="pct"/>
            <w:tcBorders>
              <w:top w:val="single" w:color="000000" w:sz="8" w:space="0"/>
              <w:left w:val="nil"/>
              <w:bottom w:val="nil"/>
              <w:right w:val="nil"/>
            </w:tcBorders>
            <w:shd w:val="clear" w:color="auto" w:fill="FFFFFF"/>
            <w:vAlign w:val="center"/>
          </w:tcPr>
          <w:p w14:paraId="67A68D94">
            <w:pPr>
              <w:pStyle w:val="58"/>
              <w:bidi w:val="0"/>
              <w:rPr>
                <w:rFonts w:hint="default"/>
              </w:rPr>
            </w:pPr>
            <w:r>
              <w:rPr>
                <w:rFonts w:hint="eastAsia"/>
                <w:lang w:val="en-US" w:eastAsia="zh-CN"/>
              </w:rPr>
              <w:t>90.33</w:t>
            </w:r>
            <w:r>
              <w:rPr>
                <w:rFonts w:hint="default"/>
                <w:lang w:val="en-US" w:eastAsia="zh-CN"/>
              </w:rPr>
              <w:t>%</w:t>
            </w:r>
          </w:p>
        </w:tc>
        <w:tc>
          <w:tcPr>
            <w:tcW w:w="558" w:type="pct"/>
            <w:tcBorders>
              <w:top w:val="single" w:color="000000" w:sz="8" w:space="0"/>
              <w:left w:val="nil"/>
              <w:bottom w:val="nil"/>
              <w:right w:val="nil"/>
            </w:tcBorders>
            <w:shd w:val="clear" w:color="auto" w:fill="FFFFFF"/>
            <w:vAlign w:val="center"/>
          </w:tcPr>
          <w:p w14:paraId="1AA987B3">
            <w:pPr>
              <w:pStyle w:val="58"/>
              <w:bidi w:val="0"/>
              <w:rPr>
                <w:rFonts w:hint="default"/>
                <w:lang w:val="en-US"/>
              </w:rPr>
            </w:pPr>
            <w:r>
              <w:rPr>
                <w:rFonts w:hint="eastAsia"/>
                <w:lang w:val="en-US" w:eastAsia="zh-CN"/>
              </w:rPr>
              <w:t>0.79</w:t>
            </w:r>
          </w:p>
        </w:tc>
        <w:tc>
          <w:tcPr>
            <w:tcW w:w="568" w:type="pct"/>
            <w:tcBorders>
              <w:top w:val="single" w:color="000000" w:sz="8" w:space="0"/>
              <w:left w:val="nil"/>
              <w:bottom w:val="nil"/>
              <w:right w:val="nil"/>
            </w:tcBorders>
            <w:shd w:val="clear" w:color="auto" w:fill="FFFFFF"/>
            <w:vAlign w:val="center"/>
          </w:tcPr>
          <w:p w14:paraId="382E4DA6">
            <w:pPr>
              <w:pStyle w:val="58"/>
              <w:bidi w:val="0"/>
              <w:rPr>
                <w:rFonts w:hint="default"/>
                <w:lang w:val="en-US"/>
              </w:rPr>
            </w:pPr>
            <w:r>
              <w:rPr>
                <w:rFonts w:hint="eastAsia"/>
                <w:lang w:val="en-US" w:eastAsia="zh-CN"/>
              </w:rPr>
              <w:t>7.92ms</w:t>
            </w:r>
          </w:p>
        </w:tc>
        <w:tc>
          <w:tcPr>
            <w:tcW w:w="561" w:type="pct"/>
            <w:tcBorders>
              <w:top w:val="single" w:color="000000" w:sz="8" w:space="0"/>
              <w:left w:val="nil"/>
              <w:bottom w:val="nil"/>
              <w:right w:val="nil"/>
            </w:tcBorders>
            <w:shd w:val="clear" w:color="auto" w:fill="FFFFFF"/>
            <w:vAlign w:val="center"/>
          </w:tcPr>
          <w:p w14:paraId="0C26182D">
            <w:pPr>
              <w:pStyle w:val="58"/>
              <w:bidi w:val="0"/>
              <w:rPr>
                <w:rFonts w:hint="default"/>
                <w:lang w:val="en-US" w:eastAsia="zh-CN"/>
              </w:rPr>
            </w:pPr>
            <w:r>
              <w:rPr>
                <w:rFonts w:hint="eastAsia"/>
                <w:lang w:val="en-US" w:eastAsia="zh-CN"/>
              </w:rPr>
              <w:t>91.00%</w:t>
            </w:r>
          </w:p>
        </w:tc>
        <w:tc>
          <w:tcPr>
            <w:tcW w:w="561" w:type="pct"/>
            <w:tcBorders>
              <w:top w:val="single" w:color="000000" w:sz="8" w:space="0"/>
              <w:left w:val="nil"/>
              <w:bottom w:val="nil"/>
              <w:right w:val="nil"/>
            </w:tcBorders>
            <w:shd w:val="clear" w:color="auto" w:fill="FFFFFF"/>
            <w:vAlign w:val="center"/>
          </w:tcPr>
          <w:p w14:paraId="6FC0D1F3">
            <w:pPr>
              <w:pStyle w:val="58"/>
              <w:bidi w:val="0"/>
              <w:rPr>
                <w:rFonts w:hint="default"/>
                <w:lang w:val="en-US" w:eastAsia="zh-CN"/>
              </w:rPr>
            </w:pPr>
            <w:r>
              <w:rPr>
                <w:rFonts w:hint="eastAsia"/>
                <w:lang w:val="en-US" w:eastAsia="zh-CN"/>
              </w:rPr>
              <w:t>0.86</w:t>
            </w:r>
          </w:p>
        </w:tc>
        <w:tc>
          <w:tcPr>
            <w:tcW w:w="566" w:type="pct"/>
            <w:tcBorders>
              <w:top w:val="single" w:color="000000" w:sz="8" w:space="0"/>
              <w:left w:val="nil"/>
              <w:bottom w:val="nil"/>
              <w:right w:val="nil"/>
            </w:tcBorders>
            <w:shd w:val="clear" w:color="auto" w:fill="FFFFFF"/>
            <w:vAlign w:val="center"/>
          </w:tcPr>
          <w:p w14:paraId="75EB2654">
            <w:pPr>
              <w:pStyle w:val="58"/>
              <w:bidi w:val="0"/>
              <w:rPr>
                <w:rFonts w:hint="default"/>
                <w:lang w:val="en-US" w:eastAsia="zh-CN"/>
              </w:rPr>
            </w:pPr>
            <w:r>
              <w:rPr>
                <w:rFonts w:hint="eastAsia"/>
                <w:lang w:val="en-US" w:eastAsia="zh-CN"/>
              </w:rPr>
              <w:t>8.09ms</w:t>
            </w:r>
          </w:p>
        </w:tc>
        <w:tc>
          <w:tcPr>
            <w:tcW w:w="845" w:type="pct"/>
            <w:tcBorders>
              <w:top w:val="single" w:color="000000" w:sz="8" w:space="0"/>
              <w:left w:val="nil"/>
              <w:bottom w:val="nil"/>
              <w:right w:val="nil"/>
            </w:tcBorders>
            <w:shd w:val="clear" w:color="auto" w:fill="FFFFFF"/>
            <w:vAlign w:val="center"/>
          </w:tcPr>
          <w:p w14:paraId="0CD058A0">
            <w:pPr>
              <w:pStyle w:val="58"/>
              <w:bidi w:val="0"/>
              <w:rPr>
                <w:rFonts w:hint="default"/>
                <w:lang w:val="en-US" w:eastAsia="zh-CN"/>
              </w:rPr>
            </w:pPr>
            <w:r>
              <w:rPr>
                <w:rFonts w:hint="eastAsia"/>
                <w:lang w:val="en-US" w:eastAsia="zh-CN"/>
              </w:rPr>
              <w:t>35.34ms</w:t>
            </w:r>
          </w:p>
        </w:tc>
      </w:tr>
      <w:tr w14:paraId="15B6877D">
        <w:tblPrEx>
          <w:tblBorders>
            <w:top w:val="single" w:color="C0C1C6" w:sz="2" w:space="0"/>
            <w:left w:val="single" w:color="C0C1C6" w:sz="2" w:space="0"/>
            <w:bottom w:val="single" w:color="E5E7EB" w:sz="2" w:space="0"/>
            <w:right w:val="single" w:color="C0C1C6"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67" w:hRule="atLeast"/>
          <w:jc w:val="center"/>
        </w:trPr>
        <w:tc>
          <w:tcPr>
            <w:tcW w:w="778" w:type="pct"/>
            <w:tcBorders>
              <w:top w:val="nil"/>
              <w:left w:val="nil"/>
              <w:bottom w:val="single" w:color="000000" w:sz="12" w:space="0"/>
              <w:right w:val="nil"/>
            </w:tcBorders>
            <w:shd w:val="clear" w:color="auto" w:fill="FFFFFF"/>
            <w:vAlign w:val="center"/>
          </w:tcPr>
          <w:p w14:paraId="1A171A04">
            <w:pPr>
              <w:pStyle w:val="58"/>
              <w:bidi w:val="0"/>
              <w:rPr>
                <w:rFonts w:hint="default"/>
              </w:rPr>
            </w:pPr>
            <w:r>
              <w:rPr>
                <w:rFonts w:hint="default"/>
                <w:lang w:val="en-US" w:eastAsia="zh-CN"/>
              </w:rPr>
              <w:t>ResNet18</w:t>
            </w:r>
          </w:p>
        </w:tc>
        <w:tc>
          <w:tcPr>
            <w:tcW w:w="558" w:type="pct"/>
            <w:tcBorders>
              <w:top w:val="nil"/>
              <w:left w:val="nil"/>
              <w:bottom w:val="single" w:color="000000" w:sz="12" w:space="0"/>
              <w:right w:val="nil"/>
            </w:tcBorders>
            <w:shd w:val="clear" w:color="auto" w:fill="FFFFFF"/>
            <w:vAlign w:val="center"/>
          </w:tcPr>
          <w:p w14:paraId="7BC870D6">
            <w:pPr>
              <w:pStyle w:val="58"/>
              <w:bidi w:val="0"/>
              <w:rPr>
                <w:rFonts w:hint="default"/>
              </w:rPr>
            </w:pPr>
            <w:r>
              <w:rPr>
                <w:rFonts w:hint="eastAsia"/>
              </w:rPr>
              <w:t>86</w:t>
            </w:r>
            <w:r>
              <w:rPr>
                <w:rFonts w:hint="eastAsia"/>
                <w:lang w:val="en-US" w:eastAsia="zh-CN"/>
              </w:rPr>
              <w:t>.</w:t>
            </w:r>
            <w:r>
              <w:rPr>
                <w:rFonts w:hint="eastAsia"/>
              </w:rPr>
              <w:t>62</w:t>
            </w:r>
            <w:r>
              <w:rPr>
                <w:rFonts w:hint="default"/>
                <w:lang w:val="en-US" w:eastAsia="zh-CN"/>
              </w:rPr>
              <w:t>%</w:t>
            </w:r>
          </w:p>
        </w:tc>
        <w:tc>
          <w:tcPr>
            <w:tcW w:w="558" w:type="pct"/>
            <w:tcBorders>
              <w:top w:val="nil"/>
              <w:left w:val="nil"/>
              <w:bottom w:val="single" w:color="000000" w:sz="12" w:space="0"/>
              <w:right w:val="nil"/>
            </w:tcBorders>
            <w:shd w:val="clear" w:color="auto" w:fill="FFFFFF"/>
            <w:vAlign w:val="center"/>
          </w:tcPr>
          <w:p w14:paraId="7029DBCE">
            <w:pPr>
              <w:pStyle w:val="58"/>
              <w:bidi w:val="0"/>
              <w:rPr>
                <w:rFonts w:hint="default"/>
                <w:lang w:val="en-US"/>
              </w:rPr>
            </w:pPr>
            <w:r>
              <w:rPr>
                <w:rFonts w:hint="eastAsia"/>
                <w:lang w:val="en-US" w:eastAsia="zh-CN"/>
              </w:rPr>
              <w:t>0.78</w:t>
            </w:r>
          </w:p>
        </w:tc>
        <w:tc>
          <w:tcPr>
            <w:tcW w:w="568" w:type="pct"/>
            <w:tcBorders>
              <w:top w:val="nil"/>
              <w:left w:val="nil"/>
              <w:bottom w:val="single" w:color="000000" w:sz="12" w:space="0"/>
              <w:right w:val="nil"/>
            </w:tcBorders>
            <w:shd w:val="clear" w:color="auto" w:fill="FFFFFF"/>
            <w:vAlign w:val="center"/>
          </w:tcPr>
          <w:p w14:paraId="705645C4">
            <w:pPr>
              <w:pStyle w:val="58"/>
              <w:bidi w:val="0"/>
              <w:rPr>
                <w:rFonts w:hint="default"/>
              </w:rPr>
            </w:pPr>
            <w:r>
              <w:rPr>
                <w:rFonts w:hint="eastAsia"/>
                <w:lang w:val="en-US" w:eastAsia="zh-CN"/>
              </w:rPr>
              <w:t>8.10</w:t>
            </w:r>
            <w:r>
              <w:rPr>
                <w:rFonts w:hint="default"/>
                <w:lang w:val="en-US" w:eastAsia="zh-CN"/>
              </w:rPr>
              <w:t>ms</w:t>
            </w:r>
          </w:p>
        </w:tc>
        <w:tc>
          <w:tcPr>
            <w:tcW w:w="561" w:type="pct"/>
            <w:tcBorders>
              <w:top w:val="nil"/>
              <w:left w:val="nil"/>
              <w:bottom w:val="single" w:color="000000" w:sz="12" w:space="0"/>
              <w:right w:val="nil"/>
            </w:tcBorders>
            <w:shd w:val="clear" w:color="auto" w:fill="FFFFFF"/>
            <w:vAlign w:val="center"/>
          </w:tcPr>
          <w:p w14:paraId="2665D06E">
            <w:pPr>
              <w:pStyle w:val="58"/>
              <w:bidi w:val="0"/>
              <w:rPr>
                <w:rFonts w:hint="default"/>
                <w:lang w:val="en-US" w:eastAsia="zh-CN"/>
              </w:rPr>
            </w:pPr>
            <w:r>
              <w:rPr>
                <w:rFonts w:hint="eastAsia"/>
                <w:lang w:val="en-US" w:eastAsia="zh-CN"/>
              </w:rPr>
              <w:t>87.67%</w:t>
            </w:r>
          </w:p>
        </w:tc>
        <w:tc>
          <w:tcPr>
            <w:tcW w:w="561" w:type="pct"/>
            <w:tcBorders>
              <w:top w:val="nil"/>
              <w:left w:val="nil"/>
              <w:bottom w:val="single" w:color="000000" w:sz="12" w:space="0"/>
              <w:right w:val="nil"/>
            </w:tcBorders>
            <w:shd w:val="clear" w:color="auto" w:fill="FFFFFF"/>
            <w:vAlign w:val="center"/>
          </w:tcPr>
          <w:p w14:paraId="5BE913E2">
            <w:pPr>
              <w:pStyle w:val="58"/>
              <w:bidi w:val="0"/>
              <w:rPr>
                <w:rFonts w:hint="default"/>
                <w:lang w:val="en-US" w:eastAsia="zh-CN"/>
              </w:rPr>
            </w:pPr>
            <w:r>
              <w:rPr>
                <w:rFonts w:hint="eastAsia"/>
                <w:lang w:val="en-US" w:eastAsia="zh-CN"/>
              </w:rPr>
              <w:t>0.82</w:t>
            </w:r>
          </w:p>
        </w:tc>
        <w:tc>
          <w:tcPr>
            <w:tcW w:w="566" w:type="pct"/>
            <w:tcBorders>
              <w:top w:val="nil"/>
              <w:left w:val="nil"/>
              <w:bottom w:val="single" w:color="000000" w:sz="12" w:space="0"/>
              <w:right w:val="nil"/>
            </w:tcBorders>
            <w:shd w:val="clear" w:color="auto" w:fill="FFFFFF"/>
            <w:vAlign w:val="center"/>
          </w:tcPr>
          <w:p w14:paraId="1FE1B818">
            <w:pPr>
              <w:pStyle w:val="58"/>
              <w:bidi w:val="0"/>
              <w:rPr>
                <w:rFonts w:hint="default"/>
                <w:lang w:val="en-US" w:eastAsia="zh-CN"/>
              </w:rPr>
            </w:pPr>
            <w:r>
              <w:rPr>
                <w:rFonts w:hint="eastAsia"/>
                <w:lang w:val="en-US" w:eastAsia="zh-CN"/>
              </w:rPr>
              <w:t>7.65ms</w:t>
            </w:r>
          </w:p>
        </w:tc>
        <w:tc>
          <w:tcPr>
            <w:tcW w:w="845" w:type="pct"/>
            <w:tcBorders>
              <w:top w:val="nil"/>
              <w:left w:val="nil"/>
              <w:bottom w:val="single" w:color="000000" w:sz="12" w:space="0"/>
              <w:right w:val="nil"/>
            </w:tcBorders>
            <w:shd w:val="clear" w:color="auto" w:fill="FFFFFF"/>
            <w:vAlign w:val="center"/>
          </w:tcPr>
          <w:p w14:paraId="1985A974">
            <w:pPr>
              <w:pStyle w:val="58"/>
              <w:bidi w:val="0"/>
              <w:rPr>
                <w:rFonts w:hint="default"/>
                <w:lang w:val="en-US" w:eastAsia="zh-CN"/>
              </w:rPr>
            </w:pPr>
            <w:r>
              <w:rPr>
                <w:rFonts w:hint="eastAsia"/>
                <w:lang w:val="en-US" w:eastAsia="zh-CN"/>
              </w:rPr>
              <w:t>34.25ms</w:t>
            </w:r>
          </w:p>
        </w:tc>
      </w:tr>
    </w:tbl>
    <w:p w14:paraId="4F241946">
      <w:pPr>
        <w:pStyle w:val="57"/>
        <w:bidi w:val="0"/>
        <w:rPr>
          <w:rFonts w:hint="default"/>
          <w:lang w:val="en-US" w:eastAsia="zh-CN"/>
        </w:rPr>
      </w:pPr>
      <w:bookmarkStart w:id="118" w:name="_Toc28785_ai_ai"/>
      <w:r>
        <w:rPr>
          <w:rFonts w:ascii="Times New Roman" w:hAnsi="Times New Roman" w:eastAsia="宋体" w:cs="Times New Roman"/>
          <w:lang w:val="en-US" w:eastAsia="zh-CN"/>
        </w:rPr>
        <w:t>注：各评价指标均为对应测试数据上的平均值。测试集数据以npz格式存储，扩展泛化集数据以jpg格式存储</w:t>
      </w:r>
      <w:r>
        <w:rPr>
          <w:rFonts w:hint="eastAsia" w:cs="Times New Roman"/>
          <w:lang w:val="en-US" w:eastAsia="zh-CN"/>
        </w:rPr>
        <w:t>。</w:t>
      </w:r>
    </w:p>
    <w:p w14:paraId="110909C0">
      <w:pPr>
        <w:pStyle w:val="3"/>
        <w:spacing w:before="240" w:beforeLines="100" w:after="120" w:afterLines="50"/>
        <w:ind w:firstLine="0"/>
      </w:pPr>
      <w:bookmarkStart w:id="119" w:name="_Toc21404"/>
      <w:r>
        <w:rPr>
          <w:rFonts w:hint="eastAsia" w:ascii="Times New Roman" w:hAnsi="Times New Roman" w:eastAsia="黑体" w:cs="Times New Roman"/>
          <w:bCs/>
          <w:kern w:val="2"/>
          <w:sz w:val="30"/>
          <w:szCs w:val="32"/>
          <w:lang w:val="zh-CN" w:eastAsia="zh-CN" w:bidi="ar-SA"/>
        </w:rPr>
        <w:t>4.4 可视化农作物分类系统展示</w:t>
      </w:r>
      <w:bookmarkEnd w:id="118"/>
      <w:bookmarkEnd w:id="119"/>
    </w:p>
    <w:p w14:paraId="1FDA3242">
      <w:pPr>
        <w:rPr>
          <w:rFonts w:hint="eastAsia"/>
        </w:rPr>
      </w:pPr>
      <w:r>
        <w:rPr>
          <w:rFonts w:hint="eastAsia"/>
        </w:rPr>
        <w:t>本文为所构建的联邦协同训练系统</w:t>
      </w:r>
      <w:r>
        <w:rPr>
          <w:rFonts w:hint="eastAsia"/>
          <w:lang w:val="en-US" w:eastAsia="zh-CN"/>
        </w:rPr>
        <w:t>设计</w:t>
      </w:r>
      <w:r>
        <w:rPr>
          <w:rFonts w:hint="eastAsia"/>
        </w:rPr>
        <w:t>开发了基于PyQt5的桌面端可视化交互界面，包含训练结果分析与农作物图像分类识别两大功能模块。</w:t>
      </w:r>
    </w:p>
    <w:p w14:paraId="58E5BAB6">
      <w:pPr>
        <w:numPr>
          <w:ilvl w:val="0"/>
          <w:numId w:val="1"/>
        </w:numPr>
        <w:rPr>
          <w:rFonts w:hint="eastAsia"/>
          <w:lang w:val="en-US" w:eastAsia="zh-CN"/>
        </w:rPr>
      </w:pPr>
      <w:r>
        <w:rPr>
          <w:rFonts w:hint="eastAsia"/>
          <w:lang w:val="en-US" w:eastAsia="zh-CN"/>
        </w:rPr>
        <w:t>训练监控分析模块</w:t>
      </w:r>
    </w:p>
    <w:p w14:paraId="349540B0">
      <w:pPr>
        <w:bidi w:val="0"/>
        <w:rPr>
          <w:rFonts w:hint="eastAsia"/>
          <w:lang w:val="en-US" w:eastAsia="zh-CN"/>
        </w:rPr>
      </w:pPr>
      <w:r>
        <w:rPr>
          <w:rFonts w:hint="eastAsia"/>
          <w:lang w:val="en-US" w:eastAsia="zh-CN"/>
        </w:rPr>
        <w:t>可视化系统以联邦学习客户端协同训练平台为主界面，采用纵向分区布局。顶部展示校徽标识与平台标题，右侧设有"使用帮助"按钮供用户查阅参数释义与操作说明。界面中部为训练参数配置区，第一行提供聚合算法（FedProx（动态）/FedProx/FedAvg）、网络模型（MobileNetV2/ResNet18/CNN/DNN）、数据集（CIFAR-10/Crop）三项下拉选择；第二行提供全局轮次、客户端数和FedProx近端项</w:t>
      </w:r>
      <m:oMath>
        <m:r>
          <m:rPr/>
          <w:rPr>
            <w:rFonts w:hint="default" w:ascii="Cambria Math" w:hAnsi="Cambria Math"/>
            <w:sz w:val="24"/>
          </w:rPr>
          <m:t>μ</m:t>
        </m:r>
      </m:oMath>
      <w:r>
        <w:rPr>
          <w:rFonts w:hint="eastAsia"/>
          <w:lang w:val="en-US" w:eastAsia="zh-CN"/>
        </w:rPr>
        <w:t>值等参数设置，各参数均支持自定义输入。配置区下方为控制按钮区，包含"开始训练"等操作按钮。界面下部为训练状态监控区，显示当前训练状态、通信轮次进度、当前准确率与训练损失，并配有进度条直观展示训练进展百分比。最下方为运行终端区，以日志形式实时输出训练过程中的全局通信轮次、全局模型评估结果等信息。训练完成后，用户可点击查看训练结果分析弹窗，展示训练曲线图与性能指标表格，并支持导出数据与图表。</w:t>
      </w:r>
    </w:p>
    <w:p w14:paraId="431E8CF6">
      <w:pPr>
        <w:pStyle w:val="56"/>
        <w:bidi w:val="0"/>
        <w:rPr>
          <w:rFonts w:hint="eastAsia"/>
          <w:lang w:val="en-US" w:eastAsia="zh-CN"/>
        </w:rPr>
      </w:pPr>
      <w:r>
        <w:rPr>
          <w:sz w:val="24"/>
        </w:rPr>
        <w:drawing>
          <wp:anchor distT="0" distB="0" distL="114300" distR="114300" simplePos="0" relativeHeight="251660288" behindDoc="0" locked="0" layoutInCell="1" allowOverlap="1">
            <wp:simplePos x="0" y="0"/>
            <wp:positionH relativeFrom="column">
              <wp:posOffset>234950</wp:posOffset>
            </wp:positionH>
            <wp:positionV relativeFrom="paragraph">
              <wp:posOffset>71755</wp:posOffset>
            </wp:positionV>
            <wp:extent cx="5219065" cy="3959860"/>
            <wp:effectExtent l="0" t="0" r="8255" b="254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9"/>
                    <a:stretch>
                      <a:fillRect/>
                    </a:stretch>
                  </pic:blipFill>
                  <pic:spPr>
                    <a:xfrm>
                      <a:off x="1357630" y="3597910"/>
                      <a:ext cx="5219065" cy="3959860"/>
                    </a:xfrm>
                    <a:prstGeom prst="rect">
                      <a:avLst/>
                    </a:prstGeom>
                    <a:noFill/>
                    <a:ln>
                      <a:noFill/>
                    </a:ln>
                  </pic:spPr>
                </pic:pic>
              </a:graphicData>
            </a:graphic>
          </wp:anchor>
        </w:drawing>
      </w:r>
      <w:r>
        <w:rPr>
          <w:rFonts w:hint="eastAsia"/>
          <w:lang w:val="en-US" w:eastAsia="zh-CN"/>
        </w:rPr>
        <w:t>图 4-3 联邦学习客户端协同训练平台主界面</w:t>
      </w:r>
    </w:p>
    <w:p w14:paraId="704FF244">
      <w:pPr>
        <w:bidi w:val="0"/>
        <w:rPr>
          <w:rFonts w:hint="eastAsia"/>
          <w:lang w:val="en-US" w:eastAsia="zh-CN"/>
        </w:rPr>
      </w:pPr>
      <w:r>
        <w:rPr>
          <w:rFonts w:hint="eastAsia"/>
          <w:lang w:val="en-US" w:eastAsia="zh-CN"/>
        </w:rPr>
        <w:t>二、农作物图像分类识别模块</w:t>
      </w:r>
    </w:p>
    <w:p w14:paraId="6C298585">
      <w:pPr>
        <w:bidi w:val="0"/>
        <w:rPr>
          <w:rFonts w:hint="eastAsia"/>
          <w:lang w:val="en-US" w:eastAsia="zh-CN"/>
        </w:rPr>
      </w:pPr>
      <w:r>
        <w:rPr>
          <w:rFonts w:hint="eastAsia"/>
          <w:lang w:val="en-US" w:eastAsia="zh-CN"/>
        </w:rPr>
        <w:t>分类识别界面标题为"农作物识别分类系统"，采用上下分区布局。上方为模型配置与图像上传区，提供"加载训练模型"按钮供用户手动选择本地模型文件、"重置默认模型"按钮一键恢复最优模型，以及"选择待测图片"按钮供用户上传农作物测试图像，各操作均配有状态标签实时反馈当前模型与图片状态。系统启动时自动加载训练完成的最优全局模型（MobileNetV2，FedProx完整方案，准确率90.33%）。下方为左右分栏布局：左侧为图像预览区，展示用户上传的待测农作物图像，支持JPG、PNG等常见格式；右侧为分类推理与结果区，包含"开始预测分类"按钮及结果展示文本框，如图4-4所示。</w:t>
      </w:r>
    </w:p>
    <w:p w14:paraId="5E09AFC6">
      <w:pPr>
        <w:bidi w:val="0"/>
        <w:rPr>
          <w:rFonts w:hint="eastAsia"/>
          <w:lang w:val="en-US" w:eastAsia="zh-CN"/>
        </w:rPr>
      </w:pPr>
      <w:r>
        <w:rPr>
          <w:rFonts w:hint="eastAsia"/>
          <w:lang w:val="en-US" w:eastAsia="zh-CN"/>
        </w:rPr>
        <w:t>用户点击"开始预测分类"后，系统调用全局模型进行前向推理，将预测类别（水稻、小麦、玉米）、置信度百分比及推理耗时返回至文本框展示。系统同时支持Top-3预测结果展示，当最高置信度低于0.4阈值时提示"置信度较低，结果不确定"，避免低置信度误判对实际应用造成影响。</w:t>
      </w:r>
    </w:p>
    <w:p w14:paraId="53CAC03A">
      <w:pPr>
        <w:pStyle w:val="56"/>
        <w:bidi w:val="0"/>
        <w:rPr>
          <w:rFonts w:hint="eastAsia"/>
        </w:rPr>
      </w:pPr>
      <w:r>
        <w:drawing>
          <wp:anchor distT="0" distB="0" distL="114300" distR="114300" simplePos="0" relativeHeight="251661312" behindDoc="0" locked="0" layoutInCell="1" allowOverlap="1">
            <wp:simplePos x="0" y="0"/>
            <wp:positionH relativeFrom="column">
              <wp:posOffset>234315</wp:posOffset>
            </wp:positionH>
            <wp:positionV relativeFrom="paragraph">
              <wp:posOffset>170180</wp:posOffset>
            </wp:positionV>
            <wp:extent cx="5219700" cy="3959860"/>
            <wp:effectExtent l="0" t="0" r="7620" b="254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0"/>
                    <a:stretch>
                      <a:fillRect/>
                    </a:stretch>
                  </pic:blipFill>
                  <pic:spPr>
                    <a:xfrm>
                      <a:off x="1631950" y="4270375"/>
                      <a:ext cx="5219700" cy="3959860"/>
                    </a:xfrm>
                    <a:prstGeom prst="rect">
                      <a:avLst/>
                    </a:prstGeom>
                    <a:noFill/>
                    <a:ln>
                      <a:noFill/>
                    </a:ln>
                  </pic:spPr>
                </pic:pic>
              </a:graphicData>
            </a:graphic>
          </wp:anchor>
        </w:drawing>
      </w:r>
      <w:r>
        <w:rPr>
          <w:rFonts w:hint="eastAsia"/>
          <w:lang w:val="en-US" w:eastAsia="zh-CN"/>
        </w:rPr>
        <w:t>图 4-4 农作物图像分类界面</w:t>
      </w:r>
    </w:p>
    <w:p w14:paraId="6D631869">
      <w:pPr>
        <w:pStyle w:val="3"/>
        <w:bidi w:val="0"/>
        <w:rPr>
          <w:szCs w:val="21"/>
        </w:rPr>
      </w:pPr>
      <w:bookmarkStart w:id="120" w:name="_Toc26542"/>
      <w:r>
        <w:t>4.5 本章小结</w:t>
      </w:r>
      <w:bookmarkEnd w:id="120"/>
    </w:p>
    <w:p w14:paraId="7D3F6BD7">
      <w:pPr>
        <w:tabs>
          <w:tab w:val="left" w:pos="3660"/>
        </w:tabs>
        <w:rPr>
          <w:szCs w:val="21"/>
        </w:rPr>
      </w:pPr>
      <w:r>
        <w:t>本章围绕系统实验验证展开了分层递进式的阐述。首先在4.2节以</w:t>
      </w:r>
      <w:r>
        <w:rPr>
          <w:rFonts w:hint="eastAsia"/>
          <w:lang w:eastAsia="zh-CN"/>
        </w:rPr>
        <w:t>CIFAR-10</w:t>
      </w:r>
      <w:r>
        <w:t>为标准平台独立验证了动态近端约束衰减机制的算法有效性，为后续全组件实验提供了控制变量依据。随后在4.3节中以Crop农作物数据集为测试平台，按照逐步叠加组件的消融思路，系统量化了预训练迁移、动态</w:t>
      </w:r>
      <m:oMath>
        <m:r>
          <m:rPr/>
          <w:rPr>
            <w:rFonts w:hint="default" w:ascii="Cambria Math" w:hAnsi="Cambria Math"/>
          </w:rPr>
          <m:t>μ</m:t>
        </m:r>
      </m:oMath>
      <w:r>
        <w:t>衰减与Mixup混合增强三个组件各自的独立贡献及其协同效果。实验结果表明，本文所提的三个组件均对识别性能产生了可验证的正向增益，其中预训练迁移贡献最为显著，动态</w:t>
      </w:r>
      <m:oMath>
        <m:r>
          <m:rPr/>
          <w:rPr>
            <w:rFonts w:hint="default" w:ascii="Cambria Math" w:hAnsi="Cambria Math"/>
          </w:rPr>
          <m:t>μ</m:t>
        </m:r>
      </m:oMath>
      <w:r>
        <w:t>衰减与Mixup在此基础上实现了进一步的稳定提升。</w:t>
      </w:r>
      <w:r>
        <w:rPr>
          <w:rFonts w:hint="eastAsia"/>
          <w:lang w:val="en-US" w:eastAsia="zh-CN"/>
        </w:rPr>
        <w:t>ResNet18模型</w:t>
      </w:r>
      <w:r>
        <w:t>完整配置下FedProx（动态</w:t>
      </w:r>
      <m:oMath>
        <m:r>
          <m:rPr/>
          <w:rPr>
            <w:rFonts w:hint="default" w:ascii="Cambria Math" w:hAnsi="Cambria Math"/>
          </w:rPr>
          <m:t>μ</m:t>
        </m:r>
      </m:oMath>
      <w:r>
        <w:t>）在Crop数据集上的测试准确率达到了8</w:t>
      </w:r>
      <w:r>
        <w:rPr>
          <w:rFonts w:hint="eastAsia"/>
          <w:lang w:val="en-US" w:eastAsia="zh-CN"/>
        </w:rPr>
        <w:t>6.62</w:t>
      </w:r>
      <w:r>
        <w:t>%</w:t>
      </w:r>
      <w:r>
        <w:rPr>
          <w:rFonts w:hint="eastAsia"/>
          <w:lang w:eastAsia="zh-CN"/>
        </w:rPr>
        <w:t>，</w:t>
      </w:r>
      <w:r>
        <w:rPr>
          <w:rFonts w:hint="eastAsia"/>
          <w:lang w:val="en-US" w:eastAsia="zh-CN"/>
        </w:rPr>
        <w:t>MobileNetV2模型完整配置则达到90.33%</w:t>
      </w:r>
      <w:r>
        <w:t>。</w:t>
      </w:r>
    </w:p>
    <w:p w14:paraId="45545614">
      <w:pPr>
        <w:tabs>
          <w:tab w:val="left" w:pos="3660"/>
        </w:tabs>
        <w:ind w:firstLine="199" w:firstLineChars="83"/>
        <w:rPr>
          <w:szCs w:val="21"/>
        </w:rPr>
      </w:pPr>
    </w:p>
    <w:p w14:paraId="6E360D56">
      <w:pPr>
        <w:tabs>
          <w:tab w:val="left" w:pos="3660"/>
        </w:tabs>
        <w:ind w:firstLine="199" w:firstLineChars="83"/>
        <w:rPr>
          <w:szCs w:val="21"/>
        </w:rPr>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p w14:paraId="6B05C106">
      <w:pPr>
        <w:pStyle w:val="2"/>
        <w:spacing w:before="480" w:beforeLines="200" w:after="240" w:afterLines="100"/>
        <w:ind w:firstLine="0"/>
      </w:pPr>
      <w:bookmarkStart w:id="121" w:name="_Toc10174_ai"/>
      <w:bookmarkStart w:id="122" w:name="_Toc25144"/>
      <w:bookmarkStart w:id="123" w:name="_Toc223595403"/>
      <w:r>
        <w:rPr>
          <w:rFonts w:ascii="Times New Roman" w:hAnsi="Times New Roman" w:eastAsia="黑体" w:cs="Times New Roman"/>
          <w:kern w:val="2"/>
          <w:sz w:val="32"/>
          <w:szCs w:val="24"/>
          <w:lang w:val="zh-CN" w:eastAsia="zh-CN" w:bidi="ar-SA"/>
        </w:rPr>
        <w:t>第5章 总结与展望</w:t>
      </w:r>
      <w:bookmarkEnd w:id="121"/>
      <w:bookmarkEnd w:id="122"/>
    </w:p>
    <w:bookmarkEnd w:id="123"/>
    <w:p w14:paraId="39EE2DAD">
      <w:pPr>
        <w:pStyle w:val="3"/>
        <w:spacing w:before="240" w:beforeLines="100" w:after="120" w:afterLines="50"/>
        <w:ind w:firstLine="0"/>
      </w:pPr>
      <w:bookmarkStart w:id="124" w:name="_Toc223595403_ai_ai"/>
      <w:bookmarkStart w:id="125" w:name="_Toc12685"/>
      <w:bookmarkStart w:id="126" w:name="_Toc27803_ai_ai"/>
      <w:r>
        <w:rPr>
          <w:rFonts w:hint="eastAsia" w:ascii="Times New Roman" w:hAnsi="Times New Roman" w:eastAsia="黑体" w:cs="Times New Roman"/>
          <w:bCs/>
          <w:kern w:val="2"/>
          <w:sz w:val="30"/>
          <w:szCs w:val="32"/>
          <w:lang w:val="zh-CN" w:eastAsia="zh-CN" w:bidi="ar-SA"/>
        </w:rPr>
        <w:t>5.1</w:t>
      </w:r>
      <w:bookmarkEnd w:id="124"/>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总结</w:t>
      </w:r>
      <w:bookmarkEnd w:id="125"/>
      <w:bookmarkEnd w:id="126"/>
    </w:p>
    <w:p w14:paraId="7581DA8D">
      <w:pPr>
        <w:rPr>
          <w:rFonts w:hint="eastAsia"/>
        </w:rPr>
      </w:pPr>
      <w:r>
        <w:rPr>
          <w:rFonts w:hint="eastAsia"/>
        </w:rPr>
        <w:t>本文针对联邦学习在农作物图像识别任务中面临的小样本收敛困难与Non-IID数据客户端漂移两类核心挑战，从模型适配、数据优化与算法改进三个层面构建了一套面向农业图像识别的联邦协同训练方法，并实现了完整的系统。</w:t>
      </w:r>
    </w:p>
    <w:p w14:paraId="3512075A">
      <w:pPr>
        <w:rPr>
          <w:rFonts w:hint="eastAsia"/>
        </w:rPr>
      </w:pPr>
      <w:r>
        <w:rPr>
          <w:rFonts w:hint="eastAsia"/>
        </w:rPr>
        <w:t>在模型适配层面，以MobileNetV2和ResNet18作为轻量化主干网络，针对农作物图像的输入尺寸与类别分布特点对网络结构进行适配，在保证识别精度的同时降低了边缘设备的计算与通信开销。</w:t>
      </w:r>
    </w:p>
    <w:p w14:paraId="2FB50357">
      <w:pPr>
        <w:rPr>
          <w:rFonts w:hint="eastAsia"/>
        </w:rPr>
      </w:pPr>
      <w:r>
        <w:rPr>
          <w:rFonts w:hint="eastAsia"/>
        </w:rPr>
        <w:t>在数据优化层面，引入基于ImageNet的预训练权重迁移机制作为联邦客户端模型的初始化起点，使各客户端无需从随机权重重新学习通用视觉特征，在小样本联邦数据条件下显著加速了模型收敛并改善了全局聚合的参数一致性；同时结合Mixup数据增强策略，通过样本插值扩充有效训练分布，进一步缓解了小样本场景下的过拟合问题。</w:t>
      </w:r>
    </w:p>
    <w:p w14:paraId="2E365AE0">
      <w:pPr>
        <w:rPr>
          <w:rFonts w:hint="eastAsia"/>
        </w:rPr>
      </w:pPr>
      <w:r>
        <w:rPr>
          <w:rFonts w:hint="eastAsia"/>
        </w:rPr>
        <w:t>在算法改进层面，针对标准FedProx固定近端约束系数难以适应训练动态变化的局限，提出了动态近端约束衰减改进算法，根据当前训练阶段自适应调整约束强度：训练初期施加较强约束以保证聚合方向的稳定性，收敛阶段逐步放松约束以充分挖掘本地数据信息，有效缓解了Non-IID数据分布下的客户端漂移问题。</w:t>
      </w:r>
    </w:p>
    <w:p w14:paraId="7244A611">
      <w:pPr>
        <w:rPr>
          <w:rFonts w:hint="eastAsia"/>
        </w:rPr>
      </w:pPr>
      <w:r>
        <w:rPr>
          <w:rFonts w:hint="eastAsia"/>
        </w:rPr>
        <w:t>实验结果表明，在CIFAR-10标准基准上，动态近端约束衰减机制展现了优异的算法稳定性，相较于FedAvg基线获得了4.75个百分点的净提升。在三类农作物图像识别的核心任务中，通过联邦隐私协同训练，完整方案在ResNet18和MobileNetV2上分别达到了86.62%和90.33%的识别准确率，相较于基线方案（62.12%）实现了显著提升。上述结果充分验证了"预训练迁移+动态约束衰减+Mixup增强"三位一体策略在农业边缘场景下缓解数据异构与小样本困境的实际有效性。</w:t>
      </w:r>
    </w:p>
    <w:p w14:paraId="760C6C93">
      <w:pPr>
        <w:pStyle w:val="3"/>
        <w:spacing w:before="240" w:beforeLines="100" w:after="120" w:afterLines="50"/>
        <w:ind w:firstLine="0"/>
      </w:pPr>
      <w:bookmarkStart w:id="127" w:name="_Toc223595404_ai_ai"/>
      <w:bookmarkStart w:id="128" w:name="_Toc2023_ai_ai"/>
      <w:bookmarkStart w:id="129" w:name="_Toc7462"/>
      <w:r>
        <w:rPr>
          <w:rFonts w:hint="eastAsia" w:ascii="Times New Roman" w:hAnsi="Times New Roman" w:eastAsia="黑体" w:cs="Times New Roman"/>
          <w:bCs/>
          <w:kern w:val="2"/>
          <w:sz w:val="30"/>
          <w:szCs w:val="32"/>
          <w:lang w:val="zh-CN" w:eastAsia="zh-CN" w:bidi="ar-SA"/>
        </w:rPr>
        <w:t>5.2</w:t>
      </w:r>
      <w:bookmarkEnd w:id="127"/>
      <w:r>
        <w:rPr>
          <w:rFonts w:hint="eastAsia" w:cs="Times New Roman"/>
          <w:bCs/>
          <w:kern w:val="2"/>
          <w:sz w:val="30"/>
          <w:szCs w:val="32"/>
          <w:lang w:val="en-US" w:eastAsia="zh-CN" w:bidi="ar-SA"/>
        </w:rPr>
        <w:t xml:space="preserve"> </w:t>
      </w:r>
      <w:r>
        <w:rPr>
          <w:rFonts w:hint="eastAsia" w:ascii="Times New Roman" w:hAnsi="Times New Roman" w:eastAsia="黑体" w:cs="Times New Roman"/>
          <w:bCs/>
          <w:kern w:val="2"/>
          <w:sz w:val="30"/>
          <w:szCs w:val="32"/>
          <w:lang w:val="zh-CN" w:eastAsia="zh-CN" w:bidi="ar-SA"/>
        </w:rPr>
        <w:t>展望</w:t>
      </w:r>
      <w:bookmarkEnd w:id="128"/>
      <w:bookmarkEnd w:id="129"/>
    </w:p>
    <w:p w14:paraId="0C19DAB8">
      <w:pPr>
        <w:rPr>
          <w:rFonts w:hint="eastAsia"/>
        </w:rPr>
      </w:pPr>
      <w:r>
        <w:rPr>
          <w:rFonts w:hint="eastAsia"/>
        </w:rPr>
        <w:t>尽管本文所提方法在联邦农作物图像识别任务中取得了一定成效，受数据规模、计算资源与研究周期的限制，仍存在若干值得进一步深入的方向。</w:t>
      </w:r>
    </w:p>
    <w:p w14:paraId="0EA1C43E">
      <w:pPr>
        <w:rPr>
          <w:rFonts w:hint="eastAsia"/>
        </w:rPr>
      </w:pPr>
      <w:r>
        <w:rPr>
          <w:rFonts w:hint="eastAsia"/>
        </w:rPr>
        <w:t>当前农作物数据集的规模相对有限，各类别样本量较少，在一定程度上制约了联邦模型的特征泛化能力。后续研究可通过引入多样化的数据增强策略，或进一步扩充涵盖不同地区、不同生长阶段的农业图像数据，提升模型在真实复杂场景下的识别鲁棒性。</w:t>
      </w:r>
    </w:p>
    <w:p w14:paraId="1CC159F1">
      <w:pPr>
        <w:rPr>
          <w:rFonts w:hint="eastAsia"/>
        </w:rPr>
      </w:pPr>
      <w:r>
        <w:rPr>
          <w:rFonts w:hint="eastAsia"/>
        </w:rPr>
        <w:t>在算法设计层面，本文对动态近端约束系数的调整策略进行了初步设计，其理论收敛性证明仍有待补充完善。未来可结合优化理论对FedProx的收敛条件进行严格分析，并探索基于客户端梯度相似度、参数偏差范数等信号的更精细化自适应调节方案，进一步提升算法在极端异构场景下的稳定性。</w:t>
      </w:r>
    </w:p>
    <w:p w14:paraId="0CDD15F5">
      <w:r>
        <w:rPr>
          <w:rFonts w:hint="eastAsia"/>
        </w:rPr>
        <w:t>此外，本文当前的联邦系统基于同步参数平均聚合，在面对设备异构与通信带宽受限的实际农业物联网环境时，聚合效率与通信开销仍有优化空间。结合模型压缩、梯度稀疏化或异步联邦等技术路线，有望进一步提升系统在资源受限农业终端设备上的实际部署适用性。</w:t>
      </w:r>
    </w:p>
    <w:p w14:paraId="412B5FA9">
      <w:pPr>
        <w:rPr>
          <w:szCs w:val="21"/>
        </w:rPr>
      </w:pPr>
    </w:p>
    <w:p w14:paraId="03971D0D">
      <w:pPr>
        <w:rPr>
          <w:szCs w:val="22"/>
        </w:rPr>
        <w:sectPr>
          <w:headerReference r:id="rId34" w:type="default"/>
          <w:headerReference r:id="rId35" w:type="even"/>
          <w:footerReference r:id="rId36" w:type="even"/>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26" w:charSpace="0"/>
        </w:sectPr>
      </w:pPr>
    </w:p>
    <w:p w14:paraId="089BA18C">
      <w:pPr>
        <w:pStyle w:val="2"/>
        <w:spacing w:before="480" w:after="240"/>
      </w:pPr>
      <w:bookmarkStart w:id="130" w:name="_Toc223595406"/>
      <w:bookmarkStart w:id="131" w:name="_Toc480737145"/>
      <w:bookmarkStart w:id="132" w:name="_Toc19012"/>
      <w:r>
        <w:t>参考文献</w:t>
      </w:r>
      <w:bookmarkEnd w:id="130"/>
      <w:bookmarkEnd w:id="131"/>
      <w:bookmarkEnd w:id="132"/>
    </w:p>
    <w:p w14:paraId="2D0BF6F7">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董华, 范菁, 郗恩康, 等, 2025. 联邦学习的计算效率优化方法综述[J/OL]. 计算机应用研究: 1-12. https://doi.org/10.19734/j.issn.1001-3695.2025.10.0397.</w:t>
      </w:r>
    </w:p>
    <w:p w14:paraId="740188D5">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高淑萍, 赵清源, 齐小刚, 等, 2021. 改进MobileNet的图像分类方法研究[J]. 智能系统学报, 16(1): 11-20.</w:t>
      </w:r>
    </w:p>
    <w:p w14:paraId="11E962E0">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黄炯炯, 2024. 基于联邦学习的水稻病害分类与计算任务卸载的研究[D]. 临安: 浙江农林大学.</w:t>
      </w:r>
    </w:p>
    <w:p w14:paraId="7DB17082">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贾涵, 2021. 轻量化深层卷积神经网络的硬件加速技术研究[D]. 武汉: 华中科技大学.</w:t>
      </w:r>
    </w:p>
    <w:p w14:paraId="3319E912">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姜红花, 杨祥海, 丁睿柔, 等, 2023. 基于改进ResNet18的苹果叶部病害多分类算法研究[J]. 农业机械学报, 54(4): 295-303.</w:t>
      </w:r>
    </w:p>
    <w:p w14:paraId="10CB9D0A">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李响, 雷亚国, 李乃鹏, 等, 2023. 保证数据隐私的装备协同智能故障诊断联邦迁移学习方法[C]//中国振动工程学会非线性振动专业委员会. 第十九届全国非线性振动暨第十六届全国非线性动力学和运动稳定性学术会议摘要集. 西安: 西安交通大学: 304.</w:t>
      </w:r>
    </w:p>
    <w:p w14:paraId="278A4282">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汤敏睿, 何亮, 顾生浩, 等, 2025. 联邦学习在智慧农业系统中的应用研究综述[J]. 中国农业科技导报, 27(6): 1-15.</w:t>
      </w:r>
    </w:p>
    <w:p w14:paraId="45ACE7C6">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王健宗, 孔令炜, 黄章成, 等, 2020. 联邦学习算法综述[J]. 大数据, 6(6): 64-82.</w:t>
      </w:r>
    </w:p>
    <w:p w14:paraId="11C259C6">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叶名炀, 张杰强, 2022. 基于轻量化网络MobileNetV2的玉米病害识别研究[J]. 现代计算机, 28(11): 46-50.</w:t>
      </w:r>
    </w:p>
    <w:p w14:paraId="1DD9F79E">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周传鑫, 孙奕, 汪德刚, 等, 2021. 联邦学习研究综述[J]. 网络与信息安全学报, 7(5): 77-92.</w:t>
      </w:r>
    </w:p>
    <w:p w14:paraId="3BBBEC26">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Deng J, Dong W, Socher R, et al., 2009. ImageNet: A large-scale hierarchical image database[C]//Proceedings of the IEEE Conference on Computer Vision and Pattern Recognition. Miami: IEEE: 248-255.</w:t>
      </w:r>
    </w:p>
    <w:p w14:paraId="4F884C71">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Friha O, Ferrag M A, Shu L, et al., 2021. Internet of Things for the future of smart agriculture: A comprehensive survey of emerging technologies[J]. IEEE/CAA Journal of Automatica Sinica, 8(4): 718-752.</w:t>
      </w:r>
    </w:p>
    <w:p w14:paraId="56A0B901">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He K, Zhang X, Ren S, et al., 2016. Deep residual learning for image recognition[C]//Proceedings of the IEEE Conference on Computer Vision and Pattern Recognition. Las Vegas: IEEE: 770-778.</w:t>
      </w:r>
    </w:p>
    <w:p w14:paraId="2F04DE1E">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Howard A G, Zhu M, Chen B, et al., 2017. MobileNets: Efficient convolutional neural networks for mobile vision applications[EB/OL]. (2017-04-17)[2026-05-14]. https://arxiv.org/abs/1704.04861 .</w:t>
      </w:r>
    </w:p>
    <w:p w14:paraId="6BD0F1EF">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Kairouz P, McMahan H B, Avent B, et al., 2021. Advances and open problems in federated learning[J]. Foundations and Trends in Machine Learning, 14(1-2): 1-210.</w:t>
      </w:r>
    </w:p>
    <w:p w14:paraId="20095D22">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Krizhevsky A, 2009. Learning multiple layers of features from tiny images[R]. Toronto: University of Toronto.</w:t>
      </w:r>
    </w:p>
    <w:p w14:paraId="556186A4">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Li T, Sahu A K, Zaheer M, et al., 2020. Federated optimization in heterogeneous networks[C]//Proceedings of Machine Learning and Systems. Austin: MLSys: 429-450.</w:t>
      </w:r>
    </w:p>
    <w:p w14:paraId="1EAEC35C">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McMahan B, Moore E, Ramage D, et al., 2017. Communication-efficient learning of deep networks from decentralized data[C]//Proceedings of the 20th International Conference on Artificial Intelligence and Statistics. Fort Lauderdale: PMLR: 1273-1282.</w:t>
      </w:r>
    </w:p>
    <w:p w14:paraId="7CC87D9B">
      <w:pPr>
        <w:pStyle w:val="51"/>
        <w:keepNext w:val="0"/>
        <w:keepLines w:val="0"/>
        <w:pageBreakBefore w:val="0"/>
        <w:widowControl/>
        <w:kinsoku/>
        <w:wordWrap/>
        <w:overflowPunct/>
        <w:topLinePunct w:val="0"/>
        <w:autoSpaceDE/>
        <w:autoSpaceDN/>
        <w:bidi w:val="0"/>
        <w:adjustRightInd/>
        <w:snapToGrid/>
        <w:ind w:left="0"/>
        <w:textAlignment w:val="auto"/>
        <w:rPr>
          <w:rFonts w:hint="eastAsia"/>
        </w:rPr>
      </w:pPr>
      <w:r>
        <w:rPr>
          <w:rFonts w:hint="eastAsia"/>
        </w:rPr>
        <w:t>Sandler M, Howard A, Zhu M, et al., 2018. MobileNetV2: Inverted residuals and linear bottlenecks[C]//Proceedings of the IEEE Conference on Computer Vision and Pattern Recognition. Salt Lake City: IEEE: 4510-4520.</w:t>
      </w:r>
    </w:p>
    <w:p w14:paraId="645D0437">
      <w:pPr>
        <w:pStyle w:val="51"/>
        <w:keepNext w:val="0"/>
        <w:keepLines w:val="0"/>
        <w:pageBreakBefore w:val="0"/>
        <w:widowControl/>
        <w:kinsoku/>
        <w:wordWrap/>
        <w:overflowPunct/>
        <w:topLinePunct w:val="0"/>
        <w:autoSpaceDE/>
        <w:autoSpaceDN/>
        <w:bidi w:val="0"/>
        <w:adjustRightInd/>
        <w:snapToGrid/>
        <w:ind w:left="0"/>
        <w:textAlignment w:val="auto"/>
      </w:pPr>
      <w:r>
        <w:rPr>
          <w:rFonts w:hint="eastAsia"/>
        </w:rPr>
        <w:t>Zhang H, Cisse M, Dauphin Y N, et al., 2018. mixup: Beyond empirical risk minimization[C]//International Conference on Learning Representations. Vancouver: ICLR.</w:t>
      </w:r>
    </w:p>
    <w:p w14:paraId="67A53850">
      <w:pPr>
        <w:pStyle w:val="51"/>
      </w:pPr>
    </w:p>
    <w:p w14:paraId="487875D4">
      <w:pPr>
        <w:pStyle w:val="51"/>
        <w:sectPr>
          <w:headerReference r:id="rId37" w:type="default"/>
          <w:headerReference r:id="rId38" w:type="even"/>
          <w:footerReference r:id="rId39" w:type="even"/>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26" w:charSpace="0"/>
        </w:sectPr>
      </w:pPr>
    </w:p>
    <w:p w14:paraId="0E8492B8">
      <w:pPr>
        <w:pStyle w:val="2"/>
        <w:spacing w:before="480" w:after="240"/>
      </w:pPr>
      <w:bookmarkStart w:id="133" w:name="_Toc223595408"/>
      <w:bookmarkStart w:id="134" w:name="_Toc15644"/>
      <w:r>
        <w:t>致谢</w:t>
      </w:r>
      <w:bookmarkEnd w:id="133"/>
      <w:bookmarkEnd w:id="134"/>
    </w:p>
    <w:p w14:paraId="40ADE71C">
      <w:pPr>
        <w:rPr>
          <w:rFonts w:hint="eastAsia"/>
        </w:rPr>
      </w:pPr>
      <w:r>
        <w:rPr>
          <w:rFonts w:hint="eastAsia"/>
        </w:rPr>
        <w:t>值此论文完成之际，我要向在本科阶段学习与研究过程中给予我帮助与支持的老师、同学和家人致以诚挚的感谢。</w:t>
      </w:r>
    </w:p>
    <w:p w14:paraId="0E2C8B67">
      <w:pPr>
        <w:rPr>
          <w:rFonts w:hint="eastAsia"/>
        </w:rPr>
      </w:pPr>
      <w:r>
        <w:rPr>
          <w:rFonts w:hint="eastAsia"/>
        </w:rPr>
        <w:t>本论文的研究与撰写工作是在纪泽宇老师的悉心指导下完成的。从选题确定到研究方案设计，从实验方法论证到论文结构组织，纪老师全程给予了耐心的指导与专业的建议。在系统设计与实验实现阶段，纪老师帮助我把握技术路线的可行性，对遇到的难点给出了切实的解决思路；在论文撰写与修改阶段，纪老师对整体架构与文字表述进行了多轮审阅与细致修改，提出了许多具有针对性的修改意见。纪老师严谨的治学态度与务实的工作作风，使我在研究过程中深受感染，也为我在今后的工作中树立了榜样。</w:t>
      </w:r>
    </w:p>
    <w:p w14:paraId="4FC837BF">
      <w:pPr>
        <w:rPr>
          <w:rFonts w:hint="eastAsia"/>
        </w:rPr>
      </w:pPr>
      <w:r>
        <w:rPr>
          <w:rFonts w:hint="eastAsia"/>
        </w:rPr>
        <w:t>信息工程学院各位老师的课程教学为本文研究奠定了理论基础。选修的机器学习、深度学习以及计算机视觉等课程中的相关知识，直接支撑了本论文中联邦学习算法与卷积神经网络的研究工作。实验室的同学们在文献查阅、实验调试以及代码实现等环节提供了许多帮助，在与他们的日常讨论中我获得了不少启发，在此一并致谢。</w:t>
      </w:r>
    </w:p>
    <w:p w14:paraId="039F4347">
      <w:pPr>
        <w:rPr>
          <w:rFonts w:hint="eastAsia"/>
        </w:rPr>
      </w:pPr>
      <w:r>
        <w:rPr>
          <w:rFonts w:hint="eastAsia"/>
        </w:rPr>
        <w:t>家人的理解与支持是我完成学业的重要保障，感谢他们在我整个学习阶段给予的关心与照顾，让我能够专注于研究工作，顺利完成学业。</w:t>
      </w:r>
    </w:p>
    <w:p w14:paraId="06707066">
      <w:pPr>
        <w:ind w:left="0" w:leftChars="0" w:firstLine="420" w:firstLineChars="0"/>
        <w:rPr>
          <w:color w:val="000000"/>
        </w:rPr>
      </w:pPr>
    </w:p>
    <w:p w14:paraId="50363DB7">
      <w:pPr>
        <w:wordWrap w:val="0"/>
        <w:jc w:val="right"/>
        <w:rPr>
          <w:lang w:val="en-US"/>
        </w:rPr>
      </w:pPr>
      <w:r>
        <w:rPr>
          <w:rFonts w:hint="eastAsia"/>
          <w:lang w:val="en-US" w:eastAsia="zh-CN"/>
        </w:rPr>
        <w:t xml:space="preserve">潘旺 </w:t>
      </w:r>
    </w:p>
    <w:p w14:paraId="1EB3B51A">
      <w:pPr>
        <w:jc w:val="right"/>
        <w:rPr>
          <w:lang w:val="en-US" w:eastAsia="zh-CN"/>
        </w:rPr>
      </w:pPr>
      <w:r>
        <w:rPr>
          <w:rFonts w:hint="eastAsia"/>
          <w:lang w:val="en-US" w:eastAsia="zh-CN"/>
        </w:rPr>
        <w:t>2026</w:t>
      </w:r>
      <w:r>
        <w:t>年</w:t>
      </w:r>
      <w:r>
        <w:rPr>
          <w:rFonts w:hint="eastAsia"/>
          <w:lang w:val="en-US" w:eastAsia="zh-CN"/>
        </w:rPr>
        <w:t>05</w:t>
      </w:r>
      <w:r>
        <w:rPr>
          <w:lang w:val="en-US" w:eastAsia="zh-CN"/>
        </w:rPr>
        <w:t>月</w:t>
      </w:r>
    </w:p>
    <w:p w14:paraId="54C20B7B">
      <w:pPr>
        <w:jc w:val="center"/>
        <w:rPr>
          <w:lang w:val="en-US" w:eastAsia="zh-CN"/>
        </w:rPr>
        <w:sectPr>
          <w:headerReference r:id="rId40" w:type="default"/>
          <w:headerReference r:id="rId41" w:type="even"/>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pPr>
    </w:p>
    <w:p w14:paraId="6B9BF339">
      <w:pPr>
        <w:pStyle w:val="2"/>
        <w:spacing w:before="480" w:after="240"/>
      </w:pPr>
      <w:bookmarkStart w:id="135" w:name="_Toc483917188"/>
      <w:bookmarkStart w:id="136" w:name="_Toc10087"/>
      <w:bookmarkStart w:id="137" w:name="_Toc223595409"/>
      <w:r>
        <w:t>作者简</w:t>
      </w:r>
      <w:bookmarkEnd w:id="135"/>
      <w:bookmarkStart w:id="138" w:name="_GoBack"/>
      <w:bookmarkEnd w:id="138"/>
      <w:r>
        <w:rPr>
          <w:rFonts w:hint="eastAsia"/>
        </w:rPr>
        <w:t>历</w:t>
      </w:r>
      <w:bookmarkEnd w:id="136"/>
      <w:bookmarkEnd w:id="137"/>
    </w:p>
    <w:p w14:paraId="7D3AF55B">
      <w:pPr>
        <w:ind w:firstLine="480"/>
        <w:rPr>
          <w:rFonts w:hint="eastAsia"/>
          <w:highlight w:val="none"/>
          <w:shd w:val="clear" w:color="auto" w:fill="auto"/>
        </w:rPr>
      </w:pPr>
      <w:r>
        <w:rPr>
          <w:rFonts w:hint="eastAsia"/>
          <w:highlight w:val="none"/>
          <w:shd w:val="clear" w:color="auto" w:fill="auto"/>
        </w:rPr>
        <w:t>潘旺，男，江西省赣州市寻乌县，2004年4月出生。</w:t>
      </w:r>
    </w:p>
    <w:p w14:paraId="34F6D410">
      <w:pPr>
        <w:ind w:firstLine="480"/>
        <w:rPr>
          <w:rFonts w:hint="eastAsia"/>
          <w:highlight w:val="none"/>
          <w:shd w:val="clear" w:color="auto" w:fill="auto"/>
        </w:rPr>
      </w:pPr>
      <w:r>
        <w:rPr>
          <w:rFonts w:hint="eastAsia"/>
          <w:highlight w:val="none"/>
          <w:shd w:val="clear" w:color="auto" w:fill="auto"/>
        </w:rPr>
        <w:t>2022年9月进入西北农林科技大学信息工程学院软件工程专业学习，2026年7月本科毕业，工学学士。在校期间参加的主要活动和取得的主要业绩：</w:t>
      </w:r>
    </w:p>
    <w:p w14:paraId="0745157E">
      <w:pPr>
        <w:rPr>
          <w:rFonts w:hint="eastAsia"/>
          <w:highlight w:val="none"/>
          <w:shd w:val="clear" w:color="auto" w:fill="auto"/>
        </w:rPr>
      </w:pPr>
      <w:r>
        <w:rPr>
          <w:rFonts w:hint="eastAsia"/>
          <w:highlight w:val="none"/>
          <w:shd w:val="clear" w:color="auto" w:fill="auto"/>
          <w:lang w:val="en-US" w:eastAsia="zh-CN"/>
        </w:rPr>
        <w:t>1</w:t>
      </w:r>
      <w:r>
        <w:rPr>
          <w:rFonts w:hint="eastAsia"/>
          <w:highlight w:val="none"/>
          <w:shd w:val="clear" w:color="auto" w:fill="auto"/>
        </w:rPr>
        <w:t>. 参加的科创项目或科研项目</w:t>
      </w:r>
    </w:p>
    <w:p w14:paraId="2563C2A8">
      <w:pPr>
        <w:ind w:firstLine="480"/>
        <w:rPr>
          <w:rFonts w:hint="eastAsia"/>
          <w:highlight w:val="none"/>
          <w:shd w:val="clear" w:color="auto" w:fill="auto"/>
        </w:rPr>
      </w:pPr>
      <w:r>
        <w:rPr>
          <w:rFonts w:hint="eastAsia"/>
          <w:highlight w:val="none"/>
          <w:shd w:val="clear" w:color="auto" w:fill="auto"/>
        </w:rPr>
        <w:t>（1）参加的科创项目</w:t>
      </w:r>
    </w:p>
    <w:p w14:paraId="5613EF39">
      <w:pPr>
        <w:ind w:firstLine="480"/>
        <w:rPr>
          <w:rFonts w:hint="eastAsia"/>
          <w:highlight w:val="none"/>
          <w:shd w:val="clear" w:color="auto" w:fill="auto"/>
        </w:rPr>
      </w:pPr>
      <w:r>
        <w:rPr>
          <w:rFonts w:hint="eastAsia"/>
          <w:highlight w:val="none"/>
          <w:shd w:val="clear" w:color="auto" w:fill="auto"/>
        </w:rPr>
        <w:t>校级大学生创新创业训练计划项目，基于深度学习的遥感图像大棚用地提取方法研究（项目编号X202410712549），</w:t>
      </w:r>
      <w:r>
        <w:rPr>
          <w:rFonts w:hint="eastAsia"/>
          <w:highlight w:val="none"/>
          <w:shd w:val="clear" w:color="auto" w:fill="auto"/>
          <w:lang w:val="en-US" w:eastAsia="zh-CN"/>
        </w:rPr>
        <w:t>2024</w:t>
      </w:r>
      <w:r>
        <w:rPr>
          <w:rFonts w:hint="eastAsia"/>
          <w:highlight w:val="none"/>
          <w:shd w:val="clear" w:color="auto" w:fill="auto"/>
        </w:rPr>
        <w:t>年</w:t>
      </w:r>
      <w:r>
        <w:rPr>
          <w:rFonts w:hint="eastAsia"/>
          <w:highlight w:val="none"/>
          <w:shd w:val="clear" w:color="auto" w:fill="auto"/>
          <w:lang w:val="en-US" w:eastAsia="zh-CN"/>
        </w:rPr>
        <w:t>5</w:t>
      </w:r>
      <w:r>
        <w:rPr>
          <w:rFonts w:hint="eastAsia"/>
          <w:highlight w:val="none"/>
          <w:shd w:val="clear" w:color="auto" w:fill="auto"/>
        </w:rPr>
        <w:t>月至2025年5月，负责人：潘旺，本人排序第1。</w:t>
      </w:r>
    </w:p>
    <w:p w14:paraId="68CB09E1">
      <w:pPr>
        <w:ind w:firstLine="480"/>
        <w:rPr>
          <w:rFonts w:hint="eastAsia"/>
          <w:highlight w:val="none"/>
          <w:shd w:val="clear" w:color="auto" w:fill="auto"/>
        </w:rPr>
      </w:pPr>
      <w:r>
        <w:rPr>
          <w:rFonts w:hint="eastAsia"/>
          <w:highlight w:val="none"/>
          <w:shd w:val="clear" w:color="auto" w:fill="auto"/>
        </w:rPr>
        <w:t>（2）参加的实训项目</w:t>
      </w:r>
    </w:p>
    <w:p w14:paraId="7177AAE6">
      <w:pPr>
        <w:ind w:firstLine="480"/>
        <w:rPr>
          <w:rFonts w:hint="eastAsia"/>
          <w:highlight w:val="none"/>
          <w:shd w:val="clear" w:color="auto" w:fill="auto"/>
        </w:rPr>
      </w:pPr>
      <w:r>
        <w:rPr>
          <w:rFonts w:hint="eastAsia"/>
          <w:highlight w:val="none"/>
          <w:shd w:val="clear" w:color="auto" w:fill="auto"/>
        </w:rPr>
        <w:t>人工智能实训项目，西北农林科技大学信息工程学院与达内科技集团共同组织，2025年6月23日至2025年7月26日，综合评定为优良。</w:t>
      </w:r>
    </w:p>
    <w:p w14:paraId="54F0981A">
      <w:pPr>
        <w:ind w:firstLine="480"/>
        <w:rPr>
          <w:rFonts w:hint="eastAsia"/>
          <w:highlight w:val="none"/>
          <w:shd w:val="clear" w:color="auto" w:fill="auto"/>
        </w:rPr>
      </w:pPr>
      <w:r>
        <w:rPr>
          <w:rFonts w:hint="eastAsia"/>
          <w:highlight w:val="none"/>
          <w:shd w:val="clear" w:color="auto" w:fill="auto"/>
          <w:lang w:val="en-US" w:eastAsia="zh-CN"/>
        </w:rPr>
        <w:t>2</w:t>
      </w:r>
      <w:r>
        <w:rPr>
          <w:rFonts w:hint="eastAsia"/>
          <w:highlight w:val="none"/>
          <w:shd w:val="clear" w:color="auto" w:fill="auto"/>
        </w:rPr>
        <w:t>. 取得的奖励、专利、论文</w:t>
      </w:r>
    </w:p>
    <w:p w14:paraId="5B2F97C9">
      <w:pPr>
        <w:ind w:firstLine="480"/>
        <w:rPr>
          <w:rFonts w:hint="eastAsia"/>
          <w:highlight w:val="none"/>
          <w:shd w:val="clear" w:color="auto" w:fill="auto"/>
        </w:rPr>
      </w:pPr>
      <w:r>
        <w:rPr>
          <w:rFonts w:hint="eastAsia"/>
          <w:highlight w:val="none"/>
          <w:shd w:val="clear" w:color="auto" w:fill="auto"/>
        </w:rPr>
        <w:t>（1）计算机软件著作权</w:t>
      </w:r>
    </w:p>
    <w:p w14:paraId="51A395A2">
      <w:pPr>
        <w:ind w:firstLine="480"/>
        <w:rPr>
          <w:rFonts w:hint="eastAsia"/>
          <w:highlight w:val="none"/>
          <w:shd w:val="clear" w:color="auto" w:fill="auto"/>
        </w:rPr>
      </w:pPr>
      <w:r>
        <w:rPr>
          <w:rFonts w:hint="eastAsia"/>
          <w:highlight w:val="none"/>
          <w:shd w:val="clear" w:color="auto" w:fill="auto"/>
        </w:rPr>
        <w:t>潘旺，大棚用地提取器软件V1.0，计算机软件著作权登记证书（登记号：2025SR0034097），中华人民共和国国家版权局，2025年1月7日。</w:t>
      </w:r>
    </w:p>
    <w:p w14:paraId="0D9F8B72">
      <w:pPr>
        <w:ind w:firstLine="480"/>
        <w:rPr>
          <w:rFonts w:hint="eastAsia"/>
          <w:highlight w:val="none"/>
          <w:shd w:val="clear" w:color="auto" w:fill="auto"/>
        </w:rPr>
      </w:pPr>
      <w:r>
        <w:rPr>
          <w:rFonts w:hint="eastAsia"/>
          <w:highlight w:val="none"/>
          <w:shd w:val="clear" w:color="auto" w:fill="auto"/>
        </w:rPr>
        <w:t>（2）获得奖励情况</w:t>
      </w:r>
    </w:p>
    <w:p w14:paraId="0E5F31D0">
      <w:pPr>
        <w:ind w:firstLine="480"/>
        <w:rPr>
          <w:rFonts w:hint="eastAsia"/>
          <w:highlight w:val="none"/>
          <w:shd w:val="clear" w:color="auto" w:fill="auto"/>
        </w:rPr>
      </w:pPr>
      <w:r>
        <w:rPr>
          <w:rFonts w:hint="eastAsia"/>
          <w:highlight w:val="none"/>
          <w:shd w:val="clear" w:color="auto" w:fill="auto"/>
        </w:rPr>
        <w:t>潘旺，获2022-2023学年第一学期一等专业奖学金，西北农林科技大学。</w:t>
      </w:r>
    </w:p>
    <w:p w14:paraId="4EFB8745">
      <w:pPr>
        <w:ind w:firstLine="480"/>
        <w:rPr>
          <w:rFonts w:hint="eastAsia"/>
          <w:highlight w:val="none"/>
          <w:shd w:val="clear" w:color="auto" w:fill="auto"/>
        </w:rPr>
      </w:pPr>
      <w:r>
        <w:rPr>
          <w:rFonts w:hint="eastAsia"/>
          <w:highlight w:val="none"/>
          <w:shd w:val="clear" w:color="auto" w:fill="auto"/>
        </w:rPr>
        <w:t>潘旺，获2023-2024学年第一学期二等专业奖学金，西北农林科技大学。</w:t>
      </w:r>
    </w:p>
    <w:p w14:paraId="141151CA">
      <w:pPr>
        <w:ind w:firstLine="480"/>
        <w:rPr>
          <w:rFonts w:hint="eastAsia"/>
          <w:highlight w:val="none"/>
          <w:shd w:val="clear" w:color="auto" w:fill="auto"/>
        </w:rPr>
      </w:pPr>
      <w:r>
        <w:rPr>
          <w:rFonts w:hint="eastAsia"/>
          <w:highlight w:val="none"/>
          <w:shd w:val="clear" w:color="auto" w:fill="auto"/>
        </w:rPr>
        <w:t>潘旺，获2022-2023学年优秀大学生，西北农林科技大学，2023年12月。</w:t>
      </w:r>
    </w:p>
    <w:p w14:paraId="7AC25016">
      <w:pPr>
        <w:ind w:firstLine="480"/>
        <w:rPr>
          <w:rFonts w:hint="eastAsia"/>
          <w:highlight w:val="none"/>
          <w:shd w:val="clear" w:color="auto" w:fill="auto"/>
        </w:rPr>
      </w:pPr>
      <w:r>
        <w:rPr>
          <w:rFonts w:hint="eastAsia"/>
          <w:highlight w:val="none"/>
          <w:shd w:val="clear" w:color="auto" w:fill="auto"/>
        </w:rPr>
        <w:t>潘旺，第十五届全国大学生数学竞赛（非数学类A组），获</w:t>
      </w:r>
      <w:r>
        <w:rPr>
          <w:rFonts w:hint="eastAsia"/>
          <w:highlight w:val="none"/>
          <w:shd w:val="clear" w:color="auto" w:fill="auto"/>
          <w:lang w:val="en-US" w:eastAsia="zh-CN"/>
        </w:rPr>
        <w:t>陕西省</w:t>
      </w:r>
      <w:r>
        <w:rPr>
          <w:rFonts w:hint="eastAsia"/>
          <w:highlight w:val="none"/>
          <w:shd w:val="clear" w:color="auto" w:fill="auto"/>
        </w:rPr>
        <w:t>二等奖，中国数学会，2023年12月。</w:t>
      </w:r>
    </w:p>
    <w:p w14:paraId="6E09C063">
      <w:pPr>
        <w:ind w:firstLine="480"/>
        <w:rPr>
          <w:rFonts w:hint="eastAsia"/>
          <w:highlight w:val="none"/>
          <w:shd w:val="clear" w:color="auto" w:fill="auto"/>
        </w:rPr>
      </w:pPr>
      <w:r>
        <w:rPr>
          <w:rFonts w:hint="eastAsia"/>
          <w:highlight w:val="none"/>
          <w:shd w:val="clear" w:color="auto" w:fill="auto"/>
        </w:rPr>
        <w:t>潘旺，第十六届蓝桥杯全国软件和信息技术专业人才大赛（陕西赛区C/C++程序设计大学A组），获省级二等奖，工业和信息化部人才交流中心/蓝桥杯大赛组委会，2025年5月26日。</w:t>
      </w:r>
    </w:p>
    <w:p w14:paraId="6B468661">
      <w:pPr>
        <w:ind w:firstLine="480"/>
        <w:rPr>
          <w:rFonts w:hint="eastAsia"/>
          <w:highlight w:val="none"/>
          <w:shd w:val="clear" w:color="auto" w:fill="auto"/>
        </w:rPr>
      </w:pPr>
      <w:r>
        <w:rPr>
          <w:rFonts w:hint="eastAsia"/>
          <w:highlight w:val="none"/>
          <w:shd w:val="clear" w:color="auto" w:fill="auto"/>
        </w:rPr>
        <w:t>潘旺，2022年三院新生越野赛，获一等奖，信息工程学院/化学与药学院/语言文化学院，2022年10月。</w:t>
      </w:r>
    </w:p>
    <w:p w14:paraId="17852D97">
      <w:pPr>
        <w:ind w:firstLine="480"/>
        <w:rPr>
          <w:rFonts w:hint="eastAsia" w:eastAsia="宋体"/>
          <w:highlight w:val="none"/>
          <w:shd w:val="clear" w:color="auto" w:fill="auto"/>
          <w:lang w:val="en-US" w:eastAsia="zh-CN"/>
        </w:rPr>
      </w:pPr>
      <w:r>
        <w:rPr>
          <w:rFonts w:hint="eastAsia"/>
          <w:highlight w:val="none"/>
          <w:shd w:val="clear" w:color="auto" w:fill="auto"/>
        </w:rPr>
        <w:t>潘旺，西北农林科技大学2025年校田径运动会趣味组男子引体向上（团体赛），所在学院（信息工程学院）获第二名，西北农林科技大学，2025年4月。</w:t>
      </w:r>
    </w:p>
    <w:sectPr>
      <w:pgSz w:w="11906" w:h="16838"/>
      <w:pgMar w:top="1701" w:right="1474" w:bottom="1418" w:left="1474" w:header="1134" w:footer="992"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BFAAD">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38125" cy="254000"/>
              <wp:effectExtent l="0" t="0" r="0" b="0"/>
              <wp:wrapNone/>
              <wp:docPr id="4097" name="矩形 4"/>
              <wp:cNvGraphicFramePr/>
              <a:graphic xmlns:a="http://schemas.openxmlformats.org/drawingml/2006/main">
                <a:graphicData uri="http://schemas.microsoft.com/office/word/2010/wordprocessingShape">
                  <wps:wsp>
                    <wps:cNvSpPr/>
                    <wps:spPr>
                      <a:xfrm>
                        <a:off x="0" y="0"/>
                        <a:ext cx="238124" cy="253999"/>
                      </a:xfrm>
                      <a:prstGeom prst="rect">
                        <a:avLst/>
                      </a:prstGeom>
                      <a:ln>
                        <a:noFill/>
                      </a:ln>
                    </wps:spPr>
                    <wps:txbx>
                      <w:txbxContent>
                        <w:p w14:paraId="4013E432">
                          <w:pPr>
                            <w:pStyle w:val="22"/>
                            <w:jc w:val="center"/>
                          </w:pPr>
                          <w:r>
                            <w:fldChar w:fldCharType="begin"/>
                          </w:r>
                          <w:r>
                            <w:instrText xml:space="preserve">PAGE   \* MERGEFORMAT</w:instrText>
                          </w:r>
                          <w:r>
                            <w:fldChar w:fldCharType="separate"/>
                          </w:r>
                          <w:r>
                            <w:fldChar w:fldCharType="end"/>
                          </w:r>
                        </w:p>
                      </w:txbxContent>
                    </wps:txbx>
                    <wps:bodyPr vert="horz" wrap="none" lIns="0" tIns="0" rIns="0" bIns="0" anchor="t" upright="0">
                      <a:spAutoFit/>
                    </wps:bodyPr>
                  </wps:wsp>
                </a:graphicData>
              </a:graphic>
            </wp:anchor>
          </w:drawing>
        </mc:Choice>
        <mc:Fallback>
          <w:pict>
            <v:rect id="矩形 4" o:spid="_x0000_s1026" o:spt="1" style="position:absolute;left:0pt;margin-top:0pt;height:20pt;width:18.75pt;mso-position-horizontal:center;mso-position-horizontal-relative:margin;mso-wrap-style:none;z-index:251659264;mso-width-relative:page;mso-height-relative:page;" filled="f" stroked="f" coordsize="21600,21600" o:gfxdata="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8znQ0gAAAAMBAAAPAAAAAAAAAAEAIAAAACIAAABk&#10;cnMvZG93bnJldi54bWxQSwECFAAUAAAACACHTuJAHNoGW9MBAACZAwAADgAAAAAAAAABACAAAAAh&#10;AQAAZHJzL2Uyb0RvYy54bWxQSwUGAAAAAAYABgBZAQAAZgUAAAAA&#10;">
              <v:fill on="f" focussize="0,0"/>
              <v:stroke on="f"/>
              <v:imagedata o:title=""/>
              <o:lock v:ext="edit" aspectratio="f"/>
              <v:textbox inset="0mm,0mm,0mm,0mm" style="mso-fit-shape-to-text:t;">
                <w:txbxContent>
                  <w:p w14:paraId="4013E432">
                    <w:pPr>
                      <w:pStyle w:val="22"/>
                      <w:jc w:val="center"/>
                    </w:pPr>
                    <w:r>
                      <w:fldChar w:fldCharType="begin"/>
                    </w:r>
                    <w:r>
                      <w:instrText xml:space="preserve">PAGE   \* MERGEFORMAT</w:instrText>
                    </w:r>
                    <w:r>
                      <w:fldChar w:fldCharType="separate"/>
                    </w:r>
                    <w:r>
                      <w:fldChar w:fldCharType="end"/>
                    </w:r>
                  </w:p>
                </w:txbxContent>
              </v:textbox>
            </v:rect>
          </w:pict>
        </mc:Fallback>
      </mc:AlternateContent>
    </w:r>
  </w:p>
  <w:p w14:paraId="1A78D8EF">
    <w:pPr>
      <w:pStyle w:val="2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6855B">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04800" cy="508000"/>
              <wp:effectExtent l="0" t="0" r="0" b="0"/>
              <wp:wrapNone/>
              <wp:docPr id="4106" name="矩形 34"/>
              <wp:cNvGraphicFramePr/>
              <a:graphic xmlns:a="http://schemas.openxmlformats.org/drawingml/2006/main">
                <a:graphicData uri="http://schemas.microsoft.com/office/word/2010/wordprocessingShape">
                  <wps:wsp>
                    <wps:cNvSpPr/>
                    <wps:spPr>
                      <a:xfrm>
                        <a:off x="0" y="0"/>
                        <a:ext cx="304800" cy="508000"/>
                      </a:xfrm>
                      <a:prstGeom prst="rect">
                        <a:avLst/>
                      </a:prstGeom>
                      <a:ln>
                        <a:noFill/>
                      </a:ln>
                    </wps:spPr>
                    <wps:txbx>
                      <w:txbxContent>
                        <w:p w14:paraId="62B426CD">
                          <w:pPr>
                            <w:pStyle w:val="22"/>
                            <w:jc w:val="center"/>
                          </w:pPr>
                          <w:r>
                            <w:fldChar w:fldCharType="begin"/>
                          </w:r>
                          <w:r>
                            <w:instrText xml:space="preserve">PAGE   \* MERGEFORMAT</w:instrText>
                          </w:r>
                          <w:r>
                            <w:fldChar w:fldCharType="separate"/>
                          </w:r>
                          <w:r>
                            <w:fldChar w:fldCharType="end"/>
                          </w:r>
                        </w:p>
                        <w:p w14:paraId="07279612"/>
                      </w:txbxContent>
                    </wps:txbx>
                    <wps:bodyPr vert="horz" wrap="none" lIns="0" tIns="0" rIns="0" bIns="0" anchor="t" upright="0">
                      <a:spAutoFit/>
                    </wps:bodyPr>
                  </wps:wsp>
                </a:graphicData>
              </a:graphic>
            </wp:anchor>
          </w:drawing>
        </mc:Choice>
        <mc:Fallback>
          <w:pict>
            <v:rect id="矩形 34" o:spid="_x0000_s1026" o:spt="1" style="position:absolute;left:0pt;margin-top:0pt;height:40pt;width:24pt;mso-position-horizontal:center;mso-position-horizontal-relative:margin;mso-wrap-style:none;z-index:251659264;mso-width-relative:page;mso-height-relative:page;" filled="f" stroked="f" coordsize="21600,21600" o:gfxdata="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AnD8T0AAAAAMBAAAPAAAAAAAAAAEAIAAAACIAAABkcnMv&#10;ZG93bnJldi54bWxQSwECFAAUAAAACACHTuJAAe8b5dIBAACaAwAADgAAAAAAAAABACAAAAAfAQAA&#10;ZHJzL2Uyb0RvYy54bWxQSwUGAAAAAAYABgBZAQAAYwUAAAAA&#10;">
              <v:fill on="f" focussize="0,0"/>
              <v:stroke on="f"/>
              <v:imagedata o:title=""/>
              <o:lock v:ext="edit" aspectratio="f"/>
              <v:textbox inset="0mm,0mm,0mm,0mm" style="mso-fit-shape-to-text:t;">
                <w:txbxContent>
                  <w:p w14:paraId="62B426CD">
                    <w:pPr>
                      <w:pStyle w:val="22"/>
                      <w:jc w:val="center"/>
                    </w:pPr>
                    <w:r>
                      <w:fldChar w:fldCharType="begin"/>
                    </w:r>
                    <w:r>
                      <w:instrText xml:space="preserve">PAGE   \* MERGEFORMAT</w:instrText>
                    </w:r>
                    <w:r>
                      <w:fldChar w:fldCharType="separate"/>
                    </w:r>
                    <w:r>
                      <w:fldChar w:fldCharType="end"/>
                    </w:r>
                  </w:p>
                  <w:p w14:paraId="07279612"/>
                </w:txbxContent>
              </v:textbox>
            </v:rect>
          </w:pict>
        </mc:Fallback>
      </mc:AlternateContent>
    </w:r>
  </w:p>
  <w:p w14:paraId="3FB14D28">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8CF72">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09" name="矩形 37"/>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58A6E2B3">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3DED78F0">
                          <w:pPr>
                            <w:rPr>
                              <w:sz w:val="21"/>
                              <w:szCs w:val="21"/>
                            </w:rPr>
                          </w:pPr>
                        </w:p>
                      </w:txbxContent>
                    </wps:txbx>
                    <wps:bodyPr vert="horz" wrap="none" lIns="0" tIns="0" rIns="0" bIns="0" anchor="t" upright="0">
                      <a:spAutoFit/>
                    </wps:bodyPr>
                  </wps:wsp>
                </a:graphicData>
              </a:graphic>
            </wp:anchor>
          </w:drawing>
        </mc:Choice>
        <mc:Fallback>
          <w:pict>
            <v:rect id="矩形 37"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jvsd0AAAAAMBAAAPAAAAAAAAAAEAIAAAACIAAABkcnMv&#10;ZG93bnJldi54bWxQSwECFAAUAAAACACHTuJAAnxTbNIBAACaAwAADgAAAAAAAAABACAAAAAfAQAA&#10;ZHJzL2Uyb0RvYy54bWxQSwUGAAAAAAYABgBZAQAAYwUAAAAA&#10;">
              <v:fill on="f" focussize="0,0"/>
              <v:stroke on="f"/>
              <v:imagedata o:title=""/>
              <o:lock v:ext="edit" aspectratio="f"/>
              <v:textbox inset="0mm,0mm,0mm,0mm" style="mso-fit-shape-to-text:t;">
                <w:txbxContent>
                  <w:p w14:paraId="58A6E2B3">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3DED78F0">
                    <w:pPr>
                      <w:rPr>
                        <w:sz w:val="21"/>
                        <w:szCs w:val="21"/>
                      </w:rPr>
                    </w:pPr>
                  </w:p>
                </w:txbxContent>
              </v:textbox>
            </v:rect>
          </w:pict>
        </mc:Fallback>
      </mc:AlternateContent>
    </w:r>
  </w:p>
  <w:p w14:paraId="1180E064">
    <w:pPr>
      <w:pStyle w:val="22"/>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20A2E">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08" name="矩形 40"/>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2A9B24A7">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1B49F1EB">
                          <w:pPr>
                            <w:rPr>
                              <w:sz w:val="21"/>
                              <w:szCs w:val="21"/>
                            </w:rPr>
                          </w:pPr>
                        </w:p>
                      </w:txbxContent>
                    </wps:txbx>
                    <wps:bodyPr vert="horz" wrap="none" lIns="0" tIns="0" rIns="0" bIns="0" anchor="t" upright="0">
                      <a:spAutoFit/>
                    </wps:bodyPr>
                  </wps:wsp>
                </a:graphicData>
              </a:graphic>
            </wp:anchor>
          </w:drawing>
        </mc:Choice>
        <mc:Fallback>
          <w:pict>
            <v:rect id="矩形 40"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o77HdAAAAADAQAADwAAAAAAAAABACAAAAAiAAAAZHJzL2Rv&#10;d25yZXYueG1sUEsBAhQAFAAAAAgAh07iQBjjINfQAQAAmgMAAA4AAAAAAAAAAQAgAAAAHwEAAGRy&#10;cy9lMm9Eb2MueG1sUEsFBgAAAAAGAAYAWQEAAGEFAAAAAA==&#10;">
              <v:fill on="f" focussize="0,0"/>
              <v:stroke on="f"/>
              <v:imagedata o:title=""/>
              <o:lock v:ext="edit" aspectratio="f"/>
              <v:textbox inset="0mm,0mm,0mm,0mm" style="mso-fit-shape-to-text:t;">
                <w:txbxContent>
                  <w:p w14:paraId="2A9B24A7">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1B49F1EB">
                    <w:pPr>
                      <w:rPr>
                        <w:sz w:val="21"/>
                        <w:szCs w:val="21"/>
                      </w:rPr>
                    </w:pPr>
                  </w:p>
                </w:txbxContent>
              </v:textbox>
            </v:rect>
          </w:pict>
        </mc:Fallback>
      </mc:AlternateContent>
    </w:r>
  </w:p>
  <w:p w14:paraId="39B11974">
    <w:pPr>
      <w:pStyle w:val="22"/>
      <w:ind w:firstLine="0" w:firstLineChars="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633C4">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10" name="矩形 43"/>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6D3249B4">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3E59CAC9">
                          <w:pPr>
                            <w:rPr>
                              <w:sz w:val="21"/>
                              <w:szCs w:val="21"/>
                            </w:rPr>
                          </w:pPr>
                        </w:p>
                      </w:txbxContent>
                    </wps:txbx>
                    <wps:bodyPr vert="horz" wrap="none" lIns="0" tIns="0" rIns="0" bIns="0" anchor="t" upright="0">
                      <a:spAutoFit/>
                    </wps:bodyPr>
                  </wps:wsp>
                </a:graphicData>
              </a:graphic>
            </wp:anchor>
          </w:drawing>
        </mc:Choice>
        <mc:Fallback>
          <w:pict>
            <v:rect id="矩形 43"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O+x3QAAAAAwEAAA8AAAAAAAAAAQAgAAAAIgAAAGRycy9k&#10;b3ducmV2LnhtbFBLAQIUABQAAAAIAIdO4kAPEfFe0QEAAJoDAAAOAAAAAAAAAAEAIAAAAB8BAABk&#10;cnMvZTJvRG9jLnhtbFBLBQYAAAAABgAGAFkBAABiBQAAAAA=&#10;">
              <v:fill on="f" focussize="0,0"/>
              <v:stroke on="f"/>
              <v:imagedata o:title=""/>
              <o:lock v:ext="edit" aspectratio="f"/>
              <v:textbox inset="0mm,0mm,0mm,0mm" style="mso-fit-shape-to-text:t;">
                <w:txbxContent>
                  <w:p w14:paraId="6D3249B4">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3E59CAC9">
                    <w:pPr>
                      <w:rPr>
                        <w:sz w:val="21"/>
                        <w:szCs w:val="21"/>
                      </w:rPr>
                    </w:pPr>
                  </w:p>
                </w:txbxContent>
              </v:textbox>
            </v:rect>
          </w:pict>
        </mc:Fallback>
      </mc:AlternateContent>
    </w:r>
  </w:p>
  <w:p w14:paraId="538AE03B">
    <w:pPr>
      <w:pStyle w:val="22"/>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A195F">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11" name="矩形 46"/>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6552C6EA">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196768FD">
                          <w:pPr>
                            <w:rPr>
                              <w:sz w:val="21"/>
                              <w:szCs w:val="21"/>
                            </w:rPr>
                          </w:pPr>
                        </w:p>
                      </w:txbxContent>
                    </wps:txbx>
                    <wps:bodyPr vert="horz" wrap="none" lIns="0" tIns="0" rIns="0" bIns="0" anchor="t" upright="0">
                      <a:spAutoFit/>
                    </wps:bodyPr>
                  </wps:wsp>
                </a:graphicData>
              </a:graphic>
            </wp:anchor>
          </w:drawing>
        </mc:Choice>
        <mc:Fallback>
          <w:pict>
            <v:rect id="矩形 46"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O+x3QAAAAAwEAAA8AAAAAAAAAAQAgAAAAIgAAAGRycy9k&#10;b3ducmV2LnhtbFBLAQIUABQAAAAIAIdO4kBvKQBN0QEAAJoDAAAOAAAAAAAAAAEAIAAAAB8BAABk&#10;cnMvZTJvRG9jLnhtbFBLBQYAAAAABgAGAFkBAABiBQAAAAA=&#10;">
              <v:fill on="f" focussize="0,0"/>
              <v:stroke on="f"/>
              <v:imagedata o:title=""/>
              <o:lock v:ext="edit" aspectratio="f"/>
              <v:textbox inset="0mm,0mm,0mm,0mm" style="mso-fit-shape-to-text:t;">
                <w:txbxContent>
                  <w:p w14:paraId="6552C6EA">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196768FD">
                    <w:pPr>
                      <w:rPr>
                        <w:sz w:val="21"/>
                        <w:szCs w:val="21"/>
                      </w:rPr>
                    </w:pPr>
                  </w:p>
                </w:txbxContent>
              </v:textbox>
            </v:rect>
          </w:pict>
        </mc:Fallback>
      </mc:AlternateContent>
    </w:r>
  </w:p>
  <w:p w14:paraId="5362B75F">
    <w:pPr>
      <w:pStyle w:val="2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9B21">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12" name="矩形 55"/>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0EE46DAF">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56481BAC">
                          <w:pPr>
                            <w:rPr>
                              <w:sz w:val="21"/>
                              <w:szCs w:val="21"/>
                            </w:rPr>
                          </w:pPr>
                        </w:p>
                      </w:txbxContent>
                    </wps:txbx>
                    <wps:bodyPr vert="horz" wrap="none" lIns="0" tIns="0" rIns="0" bIns="0" anchor="t" upright="0">
                      <a:spAutoFit/>
                    </wps:bodyPr>
                  </wps:wsp>
                </a:graphicData>
              </a:graphic>
            </wp:anchor>
          </w:drawing>
        </mc:Choice>
        <mc:Fallback>
          <w:pict>
            <v:rect id="矩形 55"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jvsd0AAAAAMBAAAPAAAAAAAAAAEAIAAAACIAAABkcnMv&#10;ZG93bnJldi54bWxQSwECFAAUAAAACACHTuJAED7YudIBAACaAwAADgAAAAAAAAABACAAAAAfAQAA&#10;ZHJzL2Uyb0RvYy54bWxQSwUGAAAAAAYABgBZAQAAYwUAAAAA&#10;">
              <v:fill on="f" focussize="0,0"/>
              <v:stroke on="f"/>
              <v:imagedata o:title=""/>
              <o:lock v:ext="edit" aspectratio="f"/>
              <v:textbox inset="0mm,0mm,0mm,0mm" style="mso-fit-shape-to-text:t;">
                <w:txbxContent>
                  <w:p w14:paraId="0EE46DAF">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56481BAC">
                    <w:pPr>
                      <w:rPr>
                        <w:sz w:val="21"/>
                        <w:szCs w:val="21"/>
                      </w:rPr>
                    </w:pPr>
                  </w:p>
                </w:txbxContent>
              </v:textbox>
            </v:rect>
          </w:pict>
        </mc:Fallback>
      </mc:AlternateContent>
    </w:r>
  </w:p>
  <w:p w14:paraId="5ED67E74">
    <w:pPr>
      <w:pStyle w:val="2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6C44">
    <w:pPr>
      <w:pStyle w:val="22"/>
      <w:ind w:firstLine="0" w:firstLineChars="0"/>
      <w:jc w:val="center"/>
      <w:rPr>
        <w:sz w:val="21"/>
        <w:szCs w:val="21"/>
      </w:rPr>
    </w:pPr>
    <w:r>
      <w:rPr>
        <w:sz w:val="21"/>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66700" cy="508000"/>
              <wp:effectExtent l="0" t="0" r="0" b="0"/>
              <wp:wrapNone/>
              <wp:docPr id="4113" name="矩形 58"/>
              <wp:cNvGraphicFramePr/>
              <a:graphic xmlns:a="http://schemas.openxmlformats.org/drawingml/2006/main">
                <a:graphicData uri="http://schemas.microsoft.com/office/word/2010/wordprocessingShape">
                  <wps:wsp>
                    <wps:cNvSpPr/>
                    <wps:spPr>
                      <a:xfrm>
                        <a:off x="0" y="0"/>
                        <a:ext cx="266700" cy="508000"/>
                      </a:xfrm>
                      <a:prstGeom prst="rect">
                        <a:avLst/>
                      </a:prstGeom>
                      <a:ln>
                        <a:noFill/>
                      </a:ln>
                    </wps:spPr>
                    <wps:txbx>
                      <w:txbxContent>
                        <w:p w14:paraId="57FBC497">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77F21187">
                          <w:pPr>
                            <w:rPr>
                              <w:sz w:val="21"/>
                              <w:szCs w:val="21"/>
                            </w:rPr>
                          </w:pPr>
                        </w:p>
                      </w:txbxContent>
                    </wps:txbx>
                    <wps:bodyPr vert="horz" wrap="none" lIns="0" tIns="0" rIns="0" bIns="0" anchor="t" upright="0">
                      <a:spAutoFit/>
                    </wps:bodyPr>
                  </wps:wsp>
                </a:graphicData>
              </a:graphic>
            </wp:anchor>
          </w:drawing>
        </mc:Choice>
        <mc:Fallback>
          <w:pict>
            <v:rect id="矩形 58" o:spid="_x0000_s1026" o:spt="1" style="position:absolute;left:0pt;margin-top:0pt;height:40pt;width:21pt;mso-position-horizontal:center;mso-position-horizontal-relative:margin;mso-wrap-style:none;z-index:251659264;mso-width-relative:page;mso-height-relative:page;" filled="f" stroked="f" coordsize="21600,21600" o:gfxdata="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jvsd0AAAAAMBAAAPAAAAAAAAAAEAIAAAACIAAABkcnMv&#10;ZG93bnJldi54bWxQSwECFAAUAAAACACHTuJAeC6zcNIBAACaAwAADgAAAAAAAAABACAAAAAfAQAA&#10;ZHJzL2Uyb0RvYy54bWxQSwUGAAAAAAYABgBZAQAAYwUAAAAA&#10;">
              <v:fill on="f" focussize="0,0"/>
              <v:stroke on="f"/>
              <v:imagedata o:title=""/>
              <o:lock v:ext="edit" aspectratio="f"/>
              <v:textbox inset="0mm,0mm,0mm,0mm" style="mso-fit-shape-to-text:t;">
                <w:txbxContent>
                  <w:p w14:paraId="57FBC497">
                    <w:pPr>
                      <w:pStyle w:val="22"/>
                      <w:ind w:firstLine="0" w:firstLineChars="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rPr>
                      <w:fldChar w:fldCharType="end"/>
                    </w:r>
                  </w:p>
                  <w:p w14:paraId="77F21187">
                    <w:pPr>
                      <w:rPr>
                        <w:sz w:val="21"/>
                        <w:szCs w:val="21"/>
                      </w:rPr>
                    </w:pPr>
                  </w:p>
                </w:txbxContent>
              </v:textbox>
            </v:rect>
          </w:pict>
        </mc:Fallback>
      </mc:AlternateContent>
    </w:r>
  </w:p>
  <w:p w14:paraId="1A71AB71">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8576">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E9EA1">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38125" cy="254000"/>
              <wp:effectExtent l="0" t="0" r="0" b="0"/>
              <wp:wrapNone/>
              <wp:docPr id="4099" name="矩形 7"/>
              <wp:cNvGraphicFramePr/>
              <a:graphic xmlns:a="http://schemas.openxmlformats.org/drawingml/2006/main">
                <a:graphicData uri="http://schemas.microsoft.com/office/word/2010/wordprocessingShape">
                  <wps:wsp>
                    <wps:cNvSpPr/>
                    <wps:spPr>
                      <a:xfrm>
                        <a:off x="0" y="0"/>
                        <a:ext cx="238124" cy="253999"/>
                      </a:xfrm>
                      <a:prstGeom prst="rect">
                        <a:avLst/>
                      </a:prstGeom>
                      <a:ln>
                        <a:noFill/>
                      </a:ln>
                    </wps:spPr>
                    <wps:txbx>
                      <w:txbxContent>
                        <w:p w14:paraId="3DEAAC39">
                          <w:pPr>
                            <w:pStyle w:val="22"/>
                            <w:jc w:val="center"/>
                          </w:pPr>
                          <w:r>
                            <w:fldChar w:fldCharType="begin"/>
                          </w:r>
                          <w:r>
                            <w:instrText xml:space="preserve">PAGE   \* MERGEFORMAT</w:instrText>
                          </w:r>
                          <w:r>
                            <w:fldChar w:fldCharType="separate"/>
                          </w:r>
                          <w:r>
                            <w:fldChar w:fldCharType="end"/>
                          </w:r>
                        </w:p>
                      </w:txbxContent>
                    </wps:txbx>
                    <wps:bodyPr vert="horz" wrap="none" lIns="0" tIns="0" rIns="0" bIns="0" anchor="t" upright="0">
                      <a:spAutoFit/>
                    </wps:bodyPr>
                  </wps:wsp>
                </a:graphicData>
              </a:graphic>
            </wp:anchor>
          </w:drawing>
        </mc:Choice>
        <mc:Fallback>
          <w:pict>
            <v:rect id="矩形 7" o:spid="_x0000_s1026" o:spt="1" style="position:absolute;left:0pt;margin-top:0pt;height:20pt;width:18.75pt;mso-position-horizontal:center;mso-position-horizontal-relative:margin;mso-wrap-style:none;z-index:251659264;mso-width-relative:page;mso-height-relative:page;" filled="f" stroked="f" coordsize="21600,21600" o:gfxdata="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&#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8znQ0gAAAAMBAAAPAAAAAAAAAAEAIAAAACIAAABk&#10;cnMvZG93bnJldi54bWxQSwECFAAUAAAACACHTuJAjcg3/NMBAACZAwAADgAAAAAAAAABACAAAAAh&#10;AQAAZHJzL2Uyb0RvYy54bWxQSwUGAAAAAAYABgBZAQAAZgUAAAAA&#10;">
              <v:fill on="f" focussize="0,0"/>
              <v:stroke on="f"/>
              <v:imagedata o:title=""/>
              <o:lock v:ext="edit" aspectratio="f"/>
              <v:textbox inset="0mm,0mm,0mm,0mm" style="mso-fit-shape-to-text:t;">
                <w:txbxContent>
                  <w:p w14:paraId="3DEAAC39">
                    <w:pPr>
                      <w:pStyle w:val="22"/>
                      <w:jc w:val="center"/>
                    </w:pPr>
                    <w:r>
                      <w:fldChar w:fldCharType="begin"/>
                    </w:r>
                    <w:r>
                      <w:instrText xml:space="preserve">PAGE   \* MERGEFORMAT</w:instrText>
                    </w:r>
                    <w:r>
                      <w:fldChar w:fldCharType="separate"/>
                    </w:r>
                    <w:r>
                      <w:fldChar w:fldCharType="end"/>
                    </w:r>
                  </w:p>
                </w:txbxContent>
              </v:textbox>
            </v:rect>
          </w:pict>
        </mc:Fallback>
      </mc:AlternateContent>
    </w:r>
  </w:p>
  <w:p w14:paraId="79808BD4">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01F58">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14325" cy="508000"/>
              <wp:effectExtent l="0" t="0" r="0" b="0"/>
              <wp:wrapNone/>
              <wp:docPr id="4098" name="矩形 10"/>
              <wp:cNvGraphicFramePr/>
              <a:graphic xmlns:a="http://schemas.openxmlformats.org/drawingml/2006/main">
                <a:graphicData uri="http://schemas.microsoft.com/office/word/2010/wordprocessingShape">
                  <wps:wsp>
                    <wps:cNvSpPr/>
                    <wps:spPr>
                      <a:xfrm>
                        <a:off x="0" y="0"/>
                        <a:ext cx="314324" cy="508000"/>
                      </a:xfrm>
                      <a:prstGeom prst="rect">
                        <a:avLst/>
                      </a:prstGeom>
                      <a:ln>
                        <a:noFill/>
                      </a:ln>
                    </wps:spPr>
                    <wps:txbx>
                      <w:txbxContent>
                        <w:p w14:paraId="200EE83A">
                          <w:pPr>
                            <w:pStyle w:val="22"/>
                            <w:jc w:val="center"/>
                          </w:pPr>
                          <w:r>
                            <w:fldChar w:fldCharType="begin"/>
                          </w:r>
                          <w:r>
                            <w:instrText xml:space="preserve">PAGE   \* MERGEFORMAT</w:instrText>
                          </w:r>
                          <w:r>
                            <w:fldChar w:fldCharType="separate"/>
                          </w:r>
                          <w:r>
                            <w:fldChar w:fldCharType="end"/>
                          </w:r>
                        </w:p>
                        <w:p w14:paraId="49C57F4D"/>
                      </w:txbxContent>
                    </wps:txbx>
                    <wps:bodyPr vert="horz" wrap="none" lIns="0" tIns="0" rIns="0" bIns="0" anchor="t" upright="0">
                      <a:spAutoFit/>
                    </wps:bodyPr>
                  </wps:wsp>
                </a:graphicData>
              </a:graphic>
            </wp:anchor>
          </w:drawing>
        </mc:Choice>
        <mc:Fallback>
          <w:pict>
            <v:rect id="矩形 10" o:spid="_x0000_s1026" o:spt="1" style="position:absolute;left:0pt;margin-top:0pt;height:40pt;width:24.75pt;mso-position-horizontal:center;mso-position-horizontal-relative:margin;mso-wrap-style:none;z-index:251659264;mso-width-relative:page;mso-height-relative:page;" filled="f" stroked="f" coordsize="21600,21600" o:gfxdata="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kRRx3SAAAAAwEAAA8AAAAAAAAAAQAgAAAAIgAAAGRy&#10;cy9kb3ducmV2LnhtbFBLAQIUABQAAAAIAIdO4kBZP5jA0gEAAJoDAAAOAAAAAAAAAAEAIAAAACEB&#10;AABkcnMvZTJvRG9jLnhtbFBLBQYAAAAABgAGAFkBAABlBQAAAAA=&#10;">
              <v:fill on="f" focussize="0,0"/>
              <v:stroke on="f"/>
              <v:imagedata o:title=""/>
              <o:lock v:ext="edit" aspectratio="f"/>
              <v:textbox inset="0mm,0mm,0mm,0mm" style="mso-fit-shape-to-text:t;">
                <w:txbxContent>
                  <w:p w14:paraId="200EE83A">
                    <w:pPr>
                      <w:pStyle w:val="22"/>
                      <w:jc w:val="center"/>
                    </w:pPr>
                    <w:r>
                      <w:fldChar w:fldCharType="begin"/>
                    </w:r>
                    <w:r>
                      <w:instrText xml:space="preserve">PAGE   \* MERGEFORMAT</w:instrText>
                    </w:r>
                    <w:r>
                      <w:fldChar w:fldCharType="separate"/>
                    </w:r>
                    <w:r>
                      <w:fldChar w:fldCharType="end"/>
                    </w:r>
                  </w:p>
                  <w:p w14:paraId="49C57F4D"/>
                </w:txbxContent>
              </v:textbox>
            </v:rect>
          </w:pict>
        </mc:Fallback>
      </mc:AlternateContent>
    </w:r>
  </w:p>
  <w:p w14:paraId="685B2013">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5EF7A">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28600" cy="254000"/>
              <wp:effectExtent l="0" t="0" r="0" b="0"/>
              <wp:wrapNone/>
              <wp:docPr id="4101" name="矩形 13"/>
              <wp:cNvGraphicFramePr/>
              <a:graphic xmlns:a="http://schemas.openxmlformats.org/drawingml/2006/main">
                <a:graphicData uri="http://schemas.microsoft.com/office/word/2010/wordprocessingShape">
                  <wps:wsp>
                    <wps:cNvSpPr/>
                    <wps:spPr>
                      <a:xfrm>
                        <a:off x="0" y="0"/>
                        <a:ext cx="228600" cy="253999"/>
                      </a:xfrm>
                      <a:prstGeom prst="rect">
                        <a:avLst/>
                      </a:prstGeom>
                      <a:ln>
                        <a:noFill/>
                      </a:ln>
                    </wps:spPr>
                    <wps:txbx>
                      <w:txbxContent>
                        <w:p w14:paraId="24BF0D3C">
                          <w:pPr>
                            <w:pStyle w:val="22"/>
                            <w:jc w:val="center"/>
                          </w:pPr>
                          <w:r>
                            <w:fldChar w:fldCharType="begin"/>
                          </w:r>
                          <w:r>
                            <w:instrText xml:space="preserve">PAGE   \* MERGEFORMAT</w:instrText>
                          </w:r>
                          <w:r>
                            <w:fldChar w:fldCharType="separate"/>
                          </w:r>
                          <w:r>
                            <w:fldChar w:fldCharType="end"/>
                          </w:r>
                        </w:p>
                      </w:txbxContent>
                    </wps:txbx>
                    <wps:bodyPr vert="horz" wrap="none" lIns="0" tIns="0" rIns="0" bIns="0" anchor="t" upright="0">
                      <a:spAutoFit/>
                    </wps:bodyPr>
                  </wps:wsp>
                </a:graphicData>
              </a:graphic>
            </wp:anchor>
          </w:drawing>
        </mc:Choice>
        <mc:Fallback>
          <w:pict>
            <v:rect id="矩形 13" o:spid="_x0000_s1026" o:spt="1" style="position:absolute;left:0pt;margin-top:0pt;height:20pt;width:18pt;mso-position-horizontal:center;mso-position-horizontal-relative:margin;mso-wrap-style:none;z-index:251659264;mso-width-relative:page;mso-height-relative:page;" filled="f" stroked="f" coordsize="21600,21600" o:gfxdata="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n5B3tEAAAADAQAADwAAAAAAAAABACAAAAAiAAAAZHJz&#10;L2Rvd25yZXYueG1sUEsBAhQAFAAAAAgAh07iQKH3Wu3SAQAAmgMAAA4AAAAAAAAAAQAgAAAAIAEA&#10;AGRycy9lMm9Eb2MueG1sUEsFBgAAAAAGAAYAWQEAAGQFAAAAAA==&#10;">
              <v:fill on="f" focussize="0,0"/>
              <v:stroke on="f"/>
              <v:imagedata o:title=""/>
              <o:lock v:ext="edit" aspectratio="f"/>
              <v:textbox inset="0mm,0mm,0mm,0mm" style="mso-fit-shape-to-text:t;">
                <w:txbxContent>
                  <w:p w14:paraId="24BF0D3C">
                    <w:pPr>
                      <w:pStyle w:val="22"/>
                      <w:jc w:val="center"/>
                    </w:pPr>
                    <w:r>
                      <w:fldChar w:fldCharType="begin"/>
                    </w:r>
                    <w:r>
                      <w:instrText xml:space="preserve">PAGE   \* MERGEFORMAT</w:instrText>
                    </w:r>
                    <w:r>
                      <w:fldChar w:fldCharType="separate"/>
                    </w:r>
                    <w:r>
                      <w:fldChar w:fldCharType="end"/>
                    </w:r>
                  </w:p>
                </w:txbxContent>
              </v:textbox>
            </v:rect>
          </w:pict>
        </mc:Fallback>
      </mc:AlternateContent>
    </w:r>
  </w:p>
  <w:p w14:paraId="50D83F57">
    <w:pPr>
      <w:pStyle w:val="2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3EF7F">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04800" cy="508000"/>
              <wp:effectExtent l="0" t="0" r="0" b="0"/>
              <wp:wrapNone/>
              <wp:docPr id="4100" name="矩形 16"/>
              <wp:cNvGraphicFramePr/>
              <a:graphic xmlns:a="http://schemas.openxmlformats.org/drawingml/2006/main">
                <a:graphicData uri="http://schemas.microsoft.com/office/word/2010/wordprocessingShape">
                  <wps:wsp>
                    <wps:cNvSpPr/>
                    <wps:spPr>
                      <a:xfrm>
                        <a:off x="0" y="0"/>
                        <a:ext cx="304800" cy="508000"/>
                      </a:xfrm>
                      <a:prstGeom prst="rect">
                        <a:avLst/>
                      </a:prstGeom>
                      <a:ln>
                        <a:noFill/>
                      </a:ln>
                    </wps:spPr>
                    <wps:txbx>
                      <w:txbxContent>
                        <w:p w14:paraId="3EAFF784">
                          <w:pPr>
                            <w:pStyle w:val="22"/>
                            <w:jc w:val="center"/>
                          </w:pPr>
                          <w:r>
                            <w:fldChar w:fldCharType="begin"/>
                          </w:r>
                          <w:r>
                            <w:instrText xml:space="preserve">PAGE   \* MERGEFORMAT</w:instrText>
                          </w:r>
                          <w:r>
                            <w:fldChar w:fldCharType="separate"/>
                          </w:r>
                          <w:r>
                            <w:fldChar w:fldCharType="end"/>
                          </w:r>
                        </w:p>
                        <w:p w14:paraId="4D319BDA"/>
                      </w:txbxContent>
                    </wps:txbx>
                    <wps:bodyPr vert="horz" wrap="none" lIns="0" tIns="0" rIns="0" bIns="0" anchor="t" upright="0">
                      <a:spAutoFit/>
                    </wps:bodyPr>
                  </wps:wsp>
                </a:graphicData>
              </a:graphic>
            </wp:anchor>
          </w:drawing>
        </mc:Choice>
        <mc:Fallback>
          <w:pict>
            <v:rect id="矩形 16" o:spid="_x0000_s1026" o:spt="1" style="position:absolute;left:0pt;margin-top:0pt;height:40pt;width:24pt;mso-position-horizontal:center;mso-position-horizontal-relative:margin;mso-wrap-style:none;z-index:251659264;mso-width-relative:page;mso-height-relative:page;" filled="f" stroked="f" coordsize="21600,21600" o:gfxdata="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wJw/E9AAAAADAQAADwAAAAAAAAABACAAAAAiAAAAZHJzL2Rv&#10;d25yZXYueG1sUEsBAhQAFAAAAAgAh07iQLrTl7rQAQAAmgMAAA4AAAAAAAAAAQAgAAAAHwEAAGRy&#10;cy9lMm9Eb2MueG1sUEsFBgAAAAAGAAYAWQEAAGEFAAAAAA==&#10;">
              <v:fill on="f" focussize="0,0"/>
              <v:stroke on="f"/>
              <v:imagedata o:title=""/>
              <o:lock v:ext="edit" aspectratio="f"/>
              <v:textbox inset="0mm,0mm,0mm,0mm" style="mso-fit-shape-to-text:t;">
                <w:txbxContent>
                  <w:p w14:paraId="3EAFF784">
                    <w:pPr>
                      <w:pStyle w:val="22"/>
                      <w:jc w:val="center"/>
                    </w:pPr>
                    <w:r>
                      <w:fldChar w:fldCharType="begin"/>
                    </w:r>
                    <w:r>
                      <w:instrText xml:space="preserve">PAGE   \* MERGEFORMAT</w:instrText>
                    </w:r>
                    <w:r>
                      <w:fldChar w:fldCharType="separate"/>
                    </w:r>
                    <w:r>
                      <w:fldChar w:fldCharType="end"/>
                    </w:r>
                  </w:p>
                  <w:p w14:paraId="4D319BDA"/>
                </w:txbxContent>
              </v:textbox>
            </v:rect>
          </w:pict>
        </mc:Fallback>
      </mc:AlternateContent>
    </w:r>
  </w:p>
  <w:p w14:paraId="7F7B7565">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6A79C">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28600" cy="254000"/>
              <wp:effectExtent l="0" t="0" r="0" b="0"/>
              <wp:wrapNone/>
              <wp:docPr id="4105" name="矩形 25"/>
              <wp:cNvGraphicFramePr/>
              <a:graphic xmlns:a="http://schemas.openxmlformats.org/drawingml/2006/main">
                <a:graphicData uri="http://schemas.microsoft.com/office/word/2010/wordprocessingShape">
                  <wps:wsp>
                    <wps:cNvSpPr/>
                    <wps:spPr>
                      <a:xfrm>
                        <a:off x="0" y="0"/>
                        <a:ext cx="228600" cy="253999"/>
                      </a:xfrm>
                      <a:prstGeom prst="rect">
                        <a:avLst/>
                      </a:prstGeom>
                      <a:ln>
                        <a:noFill/>
                      </a:ln>
                    </wps:spPr>
                    <wps:txbx>
                      <w:txbxContent>
                        <w:p w14:paraId="02901365">
                          <w:pPr>
                            <w:pStyle w:val="22"/>
                            <w:jc w:val="center"/>
                          </w:pPr>
                          <w:r>
                            <w:fldChar w:fldCharType="begin"/>
                          </w:r>
                          <w:r>
                            <w:instrText xml:space="preserve">PAGE   \* MERGEFORMAT</w:instrText>
                          </w:r>
                          <w:r>
                            <w:fldChar w:fldCharType="separate"/>
                          </w:r>
                          <w:r>
                            <w:fldChar w:fldCharType="end"/>
                          </w:r>
                        </w:p>
                      </w:txbxContent>
                    </wps:txbx>
                    <wps:bodyPr vert="horz" wrap="none" lIns="0" tIns="0" rIns="0" bIns="0" anchor="t" upright="0">
                      <a:spAutoFit/>
                    </wps:bodyPr>
                  </wps:wsp>
                </a:graphicData>
              </a:graphic>
            </wp:anchor>
          </w:drawing>
        </mc:Choice>
        <mc:Fallback>
          <w:pict>
            <v:rect id="矩形 25" o:spid="_x0000_s1026" o:spt="1" style="position:absolute;left:0pt;margin-top:0pt;height:20pt;width:18pt;mso-position-horizontal:center;mso-position-horizontal-relative:margin;mso-wrap-style:none;z-index:251659264;mso-width-relative:page;mso-height-relative:page;" filled="f" stroked="f" coordsize="21600,21600" o:gfxdata="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Qd7RAAAAAwEAAA8AAAAAAAAAAQAgAAAAIgAAAGRy&#10;cy9kb3ducmV2LnhtbFBLAQIUABQAAAAIAIdO4kAHbllj0wEAAJoDAAAOAAAAAAAAAAEAIAAAACAB&#10;AABkcnMvZTJvRG9jLnhtbFBLBQYAAAAABgAGAFkBAABlBQAAAAA=&#10;">
              <v:fill on="f" focussize="0,0"/>
              <v:stroke on="f"/>
              <v:imagedata o:title=""/>
              <o:lock v:ext="edit" aspectratio="f"/>
              <v:textbox inset="0mm,0mm,0mm,0mm" style="mso-fit-shape-to-text:t;">
                <w:txbxContent>
                  <w:p w14:paraId="02901365">
                    <w:pPr>
                      <w:pStyle w:val="22"/>
                      <w:jc w:val="center"/>
                    </w:pPr>
                    <w:r>
                      <w:fldChar w:fldCharType="begin"/>
                    </w:r>
                    <w:r>
                      <w:instrText xml:space="preserve">PAGE   \* MERGEFORMAT</w:instrText>
                    </w:r>
                    <w:r>
                      <w:fldChar w:fldCharType="separate"/>
                    </w:r>
                    <w:r>
                      <w:fldChar w:fldCharType="end"/>
                    </w:r>
                  </w:p>
                </w:txbxContent>
              </v:textbox>
            </v:rect>
          </w:pict>
        </mc:Fallback>
      </mc:AlternateContent>
    </w:r>
  </w:p>
  <w:p w14:paraId="2F6F9B59">
    <w:pPr>
      <w:pStyle w:val="2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2B66E">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304800" cy="508000"/>
              <wp:effectExtent l="0" t="0" r="0" b="0"/>
              <wp:wrapNone/>
              <wp:docPr id="4104" name="矩形 28"/>
              <wp:cNvGraphicFramePr/>
              <a:graphic xmlns:a="http://schemas.openxmlformats.org/drawingml/2006/main">
                <a:graphicData uri="http://schemas.microsoft.com/office/word/2010/wordprocessingShape">
                  <wps:wsp>
                    <wps:cNvSpPr/>
                    <wps:spPr>
                      <a:xfrm>
                        <a:off x="0" y="0"/>
                        <a:ext cx="304800" cy="508000"/>
                      </a:xfrm>
                      <a:prstGeom prst="rect">
                        <a:avLst/>
                      </a:prstGeom>
                      <a:ln>
                        <a:noFill/>
                      </a:ln>
                    </wps:spPr>
                    <wps:txbx>
                      <w:txbxContent>
                        <w:p w14:paraId="0DC6A511">
                          <w:pPr>
                            <w:pStyle w:val="22"/>
                            <w:jc w:val="center"/>
                          </w:pPr>
                          <w:r>
                            <w:fldChar w:fldCharType="begin"/>
                          </w:r>
                          <w:r>
                            <w:instrText xml:space="preserve">PAGE   \* MERGEFORMAT</w:instrText>
                          </w:r>
                          <w:r>
                            <w:fldChar w:fldCharType="separate"/>
                          </w:r>
                          <w:r>
                            <w:fldChar w:fldCharType="end"/>
                          </w:r>
                        </w:p>
                        <w:p w14:paraId="28FE0824"/>
                      </w:txbxContent>
                    </wps:txbx>
                    <wps:bodyPr vert="horz" wrap="none" lIns="0" tIns="0" rIns="0" bIns="0" anchor="t" upright="0">
                      <a:spAutoFit/>
                    </wps:bodyPr>
                  </wps:wsp>
                </a:graphicData>
              </a:graphic>
            </wp:anchor>
          </w:drawing>
        </mc:Choice>
        <mc:Fallback>
          <w:pict>
            <v:rect id="矩形 28" o:spid="_x0000_s1026" o:spt="1" style="position:absolute;left:0pt;margin-top:0pt;height:40pt;width:24pt;mso-position-horizontal:center;mso-position-horizontal-relative:margin;mso-wrap-style:none;z-index:251659264;mso-width-relative:page;mso-height-relative:page;" filled="f" stroked="f" coordsize="21600,21600" o:gfxdata="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CcPxPQAAAAAwEAAA8AAAAAAAAAAQAgAAAAIgAAAGRycy9k&#10;b3ducmV2LnhtbFBLAQIUABQAAAAIAIdO4kAUYg7u0QEAAJoDAAAOAAAAAAAAAAEAIAAAAB8BAABk&#10;cnMvZTJvRG9jLnhtbFBLBQYAAAAABgAGAFkBAABiBQAAAAA=&#10;">
              <v:fill on="f" focussize="0,0"/>
              <v:stroke on="f"/>
              <v:imagedata o:title=""/>
              <o:lock v:ext="edit" aspectratio="f"/>
              <v:textbox inset="0mm,0mm,0mm,0mm" style="mso-fit-shape-to-text:t;">
                <w:txbxContent>
                  <w:p w14:paraId="0DC6A511">
                    <w:pPr>
                      <w:pStyle w:val="22"/>
                      <w:jc w:val="center"/>
                    </w:pPr>
                    <w:r>
                      <w:fldChar w:fldCharType="begin"/>
                    </w:r>
                    <w:r>
                      <w:instrText xml:space="preserve">PAGE   \* MERGEFORMAT</w:instrText>
                    </w:r>
                    <w:r>
                      <w:fldChar w:fldCharType="separate"/>
                    </w:r>
                    <w:r>
                      <w:fldChar w:fldCharType="end"/>
                    </w:r>
                  </w:p>
                  <w:p w14:paraId="28FE0824"/>
                </w:txbxContent>
              </v:textbox>
            </v:rect>
          </w:pict>
        </mc:Fallback>
      </mc:AlternateContent>
    </w:r>
  </w:p>
  <w:p w14:paraId="1901A247">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D6919">
    <w:pPr>
      <w:pStyle w:val="22"/>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28600" cy="254000"/>
              <wp:effectExtent l="0" t="0" r="0" b="0"/>
              <wp:wrapNone/>
              <wp:docPr id="4107" name="矩形 31"/>
              <wp:cNvGraphicFramePr/>
              <a:graphic xmlns:a="http://schemas.openxmlformats.org/drawingml/2006/main">
                <a:graphicData uri="http://schemas.microsoft.com/office/word/2010/wordprocessingShape">
                  <wps:wsp>
                    <wps:cNvSpPr/>
                    <wps:spPr>
                      <a:xfrm>
                        <a:off x="0" y="0"/>
                        <a:ext cx="228600" cy="253999"/>
                      </a:xfrm>
                      <a:prstGeom prst="rect">
                        <a:avLst/>
                      </a:prstGeom>
                      <a:ln>
                        <a:noFill/>
                      </a:ln>
                    </wps:spPr>
                    <wps:txbx>
                      <w:txbxContent>
                        <w:p w14:paraId="15A2FFFA">
                          <w:pPr>
                            <w:pStyle w:val="22"/>
                            <w:jc w:val="center"/>
                          </w:pPr>
                          <w:r>
                            <w:fldChar w:fldCharType="begin"/>
                          </w:r>
                          <w:r>
                            <w:instrText xml:space="preserve">PAGE   \* MERGEFORMAT</w:instrText>
                          </w:r>
                          <w:r>
                            <w:fldChar w:fldCharType="separate"/>
                          </w:r>
                          <w:r>
                            <w:fldChar w:fldCharType="end"/>
                          </w:r>
                        </w:p>
                      </w:txbxContent>
                    </wps:txbx>
                    <wps:bodyPr vert="horz" wrap="none" lIns="0" tIns="0" rIns="0" bIns="0" anchor="t" upright="0">
                      <a:spAutoFit/>
                    </wps:bodyPr>
                  </wps:wsp>
                </a:graphicData>
              </a:graphic>
            </wp:anchor>
          </w:drawing>
        </mc:Choice>
        <mc:Fallback>
          <w:pict>
            <v:rect id="矩形 31" o:spid="_x0000_s1026" o:spt="1" style="position:absolute;left:0pt;margin-top:0pt;height:20pt;width:18pt;mso-position-horizontal:center;mso-position-horizontal-relative:margin;mso-wrap-style:none;z-index:251659264;mso-width-relative:page;mso-height-relative:page;" filled="f" stroked="f" coordsize="21600,21600" o:gfxdata="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Z+Qd7RAAAAAwEAAA8AAAAAAAAAAQAgAAAAIgAAAGRy&#10;cy9kb3ducmV2LnhtbFBLAQIUABQAAAAIAIdO4kAay9ay0wEAAJoDAAAOAAAAAAAAAAEAIAAAACAB&#10;AABkcnMvZTJvRG9jLnhtbFBLBQYAAAAABgAGAFkBAABlBQAAAAA=&#10;">
              <v:fill on="f" focussize="0,0"/>
              <v:stroke on="f"/>
              <v:imagedata o:title=""/>
              <o:lock v:ext="edit" aspectratio="f"/>
              <v:textbox inset="0mm,0mm,0mm,0mm" style="mso-fit-shape-to-text:t;">
                <w:txbxContent>
                  <w:p w14:paraId="15A2FFFA">
                    <w:pPr>
                      <w:pStyle w:val="22"/>
                      <w:jc w:val="center"/>
                    </w:pPr>
                    <w:r>
                      <w:fldChar w:fldCharType="begin"/>
                    </w:r>
                    <w:r>
                      <w:instrText xml:space="preserve">PAGE   \* MERGEFORMAT</w:instrText>
                    </w:r>
                    <w:r>
                      <w:fldChar w:fldCharType="separate"/>
                    </w:r>
                    <w:r>
                      <w:fldChar w:fldCharType="end"/>
                    </w:r>
                  </w:p>
                </w:txbxContent>
              </v:textbox>
            </v:rect>
          </w:pict>
        </mc:Fallback>
      </mc:AlternateContent>
    </w:r>
  </w:p>
  <w:p w14:paraId="412C0770">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01B05">
    <w:pPr>
      <w:pStyle w:val="23"/>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215B6">
    <w:pPr>
      <w:pStyle w:val="23"/>
      <w:rPr>
        <w:sz w:val="13"/>
        <w:szCs w:val="13"/>
      </w:rPr>
    </w:pPr>
    <w:r>
      <w:rPr>
        <w:rFonts w:hint="eastAsia"/>
      </w:rPr>
      <w:t>术语表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AB78">
    <w:pPr>
      <w:pStyle w:val="23"/>
      <w:rPr>
        <w:lang w:eastAsia="zh-CN"/>
      </w:rPr>
    </w:pPr>
    <w:r>
      <w:rPr>
        <w:lang w:eastAsia="zh-CN"/>
      </w:rPr>
      <w:fldChar w:fldCharType="begin"/>
    </w:r>
    <w:r>
      <w:rPr>
        <w:lang w:eastAsia="zh-CN"/>
      </w:rPr>
      <w:instrText xml:space="preserve"> STYLEREF "标题 1"  \* MERGEFORMAT </w:instrText>
    </w:r>
    <w:r>
      <w:rPr>
        <w:lang w:eastAsia="zh-CN"/>
      </w:rPr>
      <w:fldChar w:fldCharType="separate"/>
    </w:r>
    <w:r>
      <w:rPr>
        <w:lang w:eastAsia="zh-CN"/>
      </w:rPr>
      <w:t>作者简历</w:t>
    </w:r>
    <w:r>
      <w:rPr>
        <w:lang w:eastAsia="zh-CN"/>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19D5D">
    <w:pPr>
      <w:pStyle w:val="23"/>
      <w:rPr>
        <w:rFonts w:hint="eastAsia" w:eastAsia="宋体"/>
        <w:color w:val="FF0000"/>
        <w:lang w:eastAsia="zh-CN"/>
      </w:rPr>
    </w:pPr>
    <w:r>
      <w:rPr>
        <w:rFonts w:hint="eastAsia"/>
      </w:rPr>
      <w:t>西北农林科技大学本科毕业论文</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C9A59">
    <w:pPr>
      <w:pStyle w:val="23"/>
      <w:ind w:firstLine="360"/>
    </w:pPr>
    <w:r>
      <w:fldChar w:fldCharType="begin"/>
    </w:r>
    <w:r>
      <w:instrText xml:space="preserve"> STYLEREF "标题 1"  \* MERGEFORMAT </w:instrText>
    </w:r>
    <w:r>
      <w:fldChar w:fldCharType="separate"/>
    </w:r>
    <w:r>
      <w:t>作者简历</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5738">
    <w:pPr>
      <w:pStyle w:val="23"/>
    </w:pPr>
    <w:r>
      <w:fldChar w:fldCharType="begin"/>
    </w:r>
    <w:r>
      <w:instrText xml:space="preserve"> STYLEREF "标题 1"  \* MERGEFORMAT </w:instrText>
    </w:r>
    <w:r>
      <w:fldChar w:fldCharType="separate"/>
    </w:r>
    <w:r>
      <w:t>作者简历</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478E7">
    <w:pPr>
      <w:pStyle w:val="23"/>
      <w:ind w:firstLine="360"/>
      <w:rPr>
        <w:rFonts w:hint="eastAsia"/>
        <w:lang w:eastAsia="zh-CN"/>
      </w:rPr>
    </w:pPr>
    <w:r>
      <w:rPr>
        <w:rFonts w:hint="eastAsia"/>
      </w:rPr>
      <w:t>西北农林科技大学本科毕业论文</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C5C0">
    <w:pPr>
      <w:pStyle w:val="23"/>
    </w:pPr>
    <w:r>
      <w:fldChar w:fldCharType="begin"/>
    </w:r>
    <w:r>
      <w:instrText xml:space="preserve"> STYLEREF "标题 1"  \* MERGEFORMAT </w:instrText>
    </w:r>
    <w:r>
      <w:fldChar w:fldCharType="separate"/>
    </w:r>
    <w:r>
      <w:t>作者简历</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E6AE1">
    <w:pPr>
      <w:pStyle w:val="23"/>
      <w:rPr>
        <w:rFonts w:hint="eastAsia" w:eastAsia="宋体"/>
        <w:lang w:eastAsia="zh-CN"/>
      </w:rPr>
    </w:pPr>
    <w:r>
      <w:rPr>
        <w:rFonts w:hint="eastAsia"/>
      </w:rPr>
      <w:t>西北农林科技大学本科毕业论文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DEDD3">
    <w:pPr>
      <w:pStyle w:val="23"/>
    </w:pPr>
    <w:r>
      <w:rPr>
        <w:rFonts w:hint="eastAsia"/>
      </w:rPr>
      <w:t>参考文献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34A4">
    <w:pPr>
      <w:pStyle w:val="23"/>
    </w:pPr>
    <w:r>
      <w:rPr>
        <w:rFonts w:hint="eastAsia"/>
      </w:rPr>
      <w:t>参考文献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52F4">
    <w:pPr>
      <w:pStyle w:val="23"/>
    </w:pPr>
    <w:r>
      <w:rPr>
        <w:rFonts w:hint="eastAsia"/>
      </w:rPr>
      <w:t>摘要</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1C4A6">
    <w:pPr>
      <w:pStyle w:val="23"/>
      <w:rPr>
        <w:rFonts w:hint="eastAsia" w:eastAsia="宋体"/>
        <w:lang w:val="en-US" w:eastAsia="zh-CN"/>
      </w:rPr>
    </w:pPr>
    <w:r>
      <w:rPr>
        <w:rFonts w:hint="eastAsia"/>
        <w:lang w:val="en-US" w:eastAsia="zh-CN"/>
      </w:rPr>
      <w:t>致谢</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DC645">
    <w:pPr>
      <w:pStyle w:val="23"/>
      <w:jc w:val="center"/>
      <w:rPr>
        <w:rFonts w:hint="default" w:eastAsia="宋体"/>
        <w:lang w:val="en-US" w:eastAsia="zh-CN"/>
      </w:rPr>
    </w:pPr>
    <w:r>
      <w:rPr>
        <w:rFonts w:hint="eastAsia"/>
        <w:lang w:val="en-US" w:eastAsia="zh-CN"/>
      </w:rPr>
      <w:t>作者简历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54B0C">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3A4F9">
    <w:pPr>
      <w:pStyle w:val="23"/>
      <w:rPr>
        <w:sz w:val="13"/>
        <w:szCs w:val="13"/>
      </w:rPr>
    </w:pPr>
    <w:r>
      <w:t>ABSTRACT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36465">
    <w:pPr>
      <w:pStyle w:val="23"/>
    </w:pPr>
    <w:r>
      <w:t>ABSTRACT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BCBDA">
    <w:pPr>
      <w:pStyle w:val="23"/>
      <w:rPr>
        <w:rFonts w:hint="eastAsia" w:eastAsia="宋体"/>
        <w:sz w:val="13"/>
        <w:szCs w:val="13"/>
        <w:lang w:val="en-US" w:eastAsia="zh-CN"/>
      </w:rPr>
    </w:pPr>
    <w:r>
      <w:rPr>
        <w:rFonts w:hint="eastAsia"/>
      </w:rPr>
      <w:t>目</w:t>
    </w:r>
    <w:r>
      <w:rPr>
        <w:rFonts w:hint="eastAsia"/>
        <w:lang w:val="en-US" w:eastAsia="zh-CN"/>
      </w:rPr>
      <w:t>次</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5EFF2">
    <w:pPr>
      <w:pStyle w:val="23"/>
      <w:rPr>
        <w:rFonts w:hint="eastAsia" w:eastAsia="宋体"/>
        <w:lang w:val="en-US" w:eastAsia="zh-CN"/>
      </w:rPr>
    </w:pPr>
    <w:r>
      <w:rPr>
        <w:rFonts w:hint="eastAsia"/>
        <w:lang w:val="en-US" w:eastAsia="zh-CN"/>
      </w:rPr>
      <w:t>目次</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A5AF7">
    <w:pPr>
      <w:pStyle w:val="23"/>
      <w:rPr>
        <w:sz w:val="13"/>
        <w:szCs w:val="13"/>
      </w:rPr>
    </w:pPr>
    <w:r>
      <w:rPr>
        <w:rFonts w:hint="eastAsia"/>
      </w:rPr>
      <w:t>主要符号注释表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2E09B">
    <w:pPr>
      <w:pStyle w:val="23"/>
    </w:pPr>
    <w:r>
      <w:rPr>
        <w:rFonts w:hint="eastAsia"/>
      </w:rPr>
      <w:t>主要符号注释表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44FAE6"/>
    <w:multiLevelType w:val="singleLevel"/>
    <w:tmpl w:val="7044FAE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growAutofit/>
    <w:useFELayout/>
    <w:compatSetting w:name="compatibilityMode" w:uri="http://schemas.microsoft.com/office/word" w:val="14"/>
  </w:compat>
  <w:rsids>
    <w:rsidRoot w:val="00000000"/>
    <w:rsid w:val="00910BFB"/>
    <w:rsid w:val="00E70B6E"/>
    <w:rsid w:val="01586F2C"/>
    <w:rsid w:val="019C2363"/>
    <w:rsid w:val="039F62FF"/>
    <w:rsid w:val="052B11CF"/>
    <w:rsid w:val="05724E4C"/>
    <w:rsid w:val="05E46B90"/>
    <w:rsid w:val="09BB2C2D"/>
    <w:rsid w:val="0CBF6AF8"/>
    <w:rsid w:val="0DC2593A"/>
    <w:rsid w:val="0EB208AB"/>
    <w:rsid w:val="10602D60"/>
    <w:rsid w:val="10A258EB"/>
    <w:rsid w:val="11DF289A"/>
    <w:rsid w:val="12665599"/>
    <w:rsid w:val="12BC5F85"/>
    <w:rsid w:val="1319260B"/>
    <w:rsid w:val="14171240"/>
    <w:rsid w:val="149402E6"/>
    <w:rsid w:val="15954377"/>
    <w:rsid w:val="16DF74AB"/>
    <w:rsid w:val="17AC34C7"/>
    <w:rsid w:val="18717FAC"/>
    <w:rsid w:val="188424EC"/>
    <w:rsid w:val="18B0756E"/>
    <w:rsid w:val="18D80C51"/>
    <w:rsid w:val="19920501"/>
    <w:rsid w:val="199D5D64"/>
    <w:rsid w:val="1B46204F"/>
    <w:rsid w:val="1DDA59F0"/>
    <w:rsid w:val="1E491AE1"/>
    <w:rsid w:val="1F015792"/>
    <w:rsid w:val="1F7318CB"/>
    <w:rsid w:val="1FEF6BCD"/>
    <w:rsid w:val="203B44D3"/>
    <w:rsid w:val="226A7B95"/>
    <w:rsid w:val="22F52116"/>
    <w:rsid w:val="241E2E4D"/>
    <w:rsid w:val="28B85871"/>
    <w:rsid w:val="28E20248"/>
    <w:rsid w:val="29454DE0"/>
    <w:rsid w:val="29724D59"/>
    <w:rsid w:val="2A53104C"/>
    <w:rsid w:val="2B691A85"/>
    <w:rsid w:val="2E5A728A"/>
    <w:rsid w:val="2E8B0409"/>
    <w:rsid w:val="2EE76951"/>
    <w:rsid w:val="2FCD70FB"/>
    <w:rsid w:val="31986DCA"/>
    <w:rsid w:val="32BC155D"/>
    <w:rsid w:val="340065E3"/>
    <w:rsid w:val="34362D51"/>
    <w:rsid w:val="359D0A22"/>
    <w:rsid w:val="36A25291"/>
    <w:rsid w:val="36BB69D9"/>
    <w:rsid w:val="37704043"/>
    <w:rsid w:val="3A2225A8"/>
    <w:rsid w:val="3A50591E"/>
    <w:rsid w:val="3C9869B4"/>
    <w:rsid w:val="3CE242F0"/>
    <w:rsid w:val="3DDB349C"/>
    <w:rsid w:val="3EF36D4E"/>
    <w:rsid w:val="3FC16727"/>
    <w:rsid w:val="41065CB3"/>
    <w:rsid w:val="41A05EB7"/>
    <w:rsid w:val="43AB2A94"/>
    <w:rsid w:val="44270658"/>
    <w:rsid w:val="46C23027"/>
    <w:rsid w:val="473C1CFF"/>
    <w:rsid w:val="49905EE2"/>
    <w:rsid w:val="4AE64354"/>
    <w:rsid w:val="50232F46"/>
    <w:rsid w:val="513D6E39"/>
    <w:rsid w:val="519C519F"/>
    <w:rsid w:val="51FD1443"/>
    <w:rsid w:val="520F4DE2"/>
    <w:rsid w:val="52BA24D0"/>
    <w:rsid w:val="54FA3F17"/>
    <w:rsid w:val="5544046E"/>
    <w:rsid w:val="564F285F"/>
    <w:rsid w:val="5B5B3870"/>
    <w:rsid w:val="5C1C221D"/>
    <w:rsid w:val="5C235A01"/>
    <w:rsid w:val="5EEC01A1"/>
    <w:rsid w:val="61C30B54"/>
    <w:rsid w:val="64A00BFE"/>
    <w:rsid w:val="64D7684E"/>
    <w:rsid w:val="65A47D15"/>
    <w:rsid w:val="668C68C2"/>
    <w:rsid w:val="68417C26"/>
    <w:rsid w:val="6B1E73A2"/>
    <w:rsid w:val="6BF470FA"/>
    <w:rsid w:val="6C90221A"/>
    <w:rsid w:val="6E177A34"/>
    <w:rsid w:val="6EDE7853"/>
    <w:rsid w:val="6F067393"/>
    <w:rsid w:val="6F7915DC"/>
    <w:rsid w:val="70E561CC"/>
    <w:rsid w:val="720F6228"/>
    <w:rsid w:val="745D6B90"/>
    <w:rsid w:val="74E76FE8"/>
    <w:rsid w:val="756B5E6B"/>
    <w:rsid w:val="76637BAE"/>
    <w:rsid w:val="772F279A"/>
    <w:rsid w:val="77316C41"/>
    <w:rsid w:val="775C5BE0"/>
    <w:rsid w:val="78D9133E"/>
    <w:rsid w:val="7A464797"/>
    <w:rsid w:val="7A883131"/>
    <w:rsid w:val="7C8B2065"/>
    <w:rsid w:val="7F5D1DEC"/>
    <w:rsid w:val="7FB345D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widowControl w:val="0"/>
      <w:spacing w:before="200" w:beforeLines="200" w:after="100" w:afterLines="100"/>
      <w:ind w:firstLine="0" w:firstLineChars="0"/>
      <w:jc w:val="center"/>
      <w:outlineLvl w:val="0"/>
    </w:pPr>
    <w:rPr>
      <w:rFonts w:eastAsia="黑体"/>
      <w:sz w:val="32"/>
      <w:lang w:val="zh-CN"/>
    </w:rPr>
  </w:style>
  <w:style w:type="paragraph" w:styleId="3">
    <w:name w:val="heading 2"/>
    <w:basedOn w:val="1"/>
    <w:next w:val="1"/>
    <w:qFormat/>
    <w:uiPriority w:val="0"/>
    <w:pPr>
      <w:keepNext/>
      <w:keepLines/>
      <w:widowControl w:val="0"/>
      <w:spacing w:before="100" w:beforeLines="100" w:after="50" w:afterLines="50"/>
      <w:ind w:firstLine="0" w:firstLineChars="0"/>
      <w:jc w:val="left"/>
      <w:outlineLvl w:val="1"/>
    </w:pPr>
    <w:rPr>
      <w:rFonts w:eastAsia="黑体"/>
      <w:bCs/>
      <w:sz w:val="30"/>
      <w:szCs w:val="32"/>
      <w:lang w:val="zh-CN"/>
    </w:rPr>
  </w:style>
  <w:style w:type="paragraph" w:styleId="4">
    <w:name w:val="heading 3"/>
    <w:basedOn w:val="1"/>
    <w:next w:val="5"/>
    <w:qFormat/>
    <w:uiPriority w:val="0"/>
    <w:pPr>
      <w:keepNext/>
      <w:keepLines/>
      <w:widowControl w:val="0"/>
      <w:tabs>
        <w:tab w:val="left" w:pos="561"/>
        <w:tab w:val="left" w:pos="720"/>
      </w:tabs>
      <w:overflowPunct w:val="0"/>
      <w:spacing w:before="50" w:beforeLines="50"/>
      <w:ind w:firstLine="0" w:firstLineChars="0"/>
      <w:jc w:val="left"/>
      <w:outlineLvl w:val="2"/>
    </w:pPr>
    <w:rPr>
      <w:rFonts w:eastAsia="黑体"/>
      <w:sz w:val="28"/>
      <w:szCs w:val="20"/>
      <w:lang w:val="zh-CN"/>
    </w:rPr>
  </w:style>
  <w:style w:type="paragraph" w:styleId="6">
    <w:name w:val="heading 4"/>
    <w:basedOn w:val="1"/>
    <w:next w:val="1"/>
    <w:qFormat/>
    <w:uiPriority w:val="0"/>
    <w:pPr>
      <w:keepNext/>
      <w:keepLines/>
      <w:widowControl w:val="0"/>
      <w:tabs>
        <w:tab w:val="left" w:pos="720"/>
      </w:tabs>
      <w:overflowPunct w:val="0"/>
      <w:ind w:firstLine="0" w:firstLineChars="0"/>
      <w:jc w:val="left"/>
      <w:outlineLvl w:val="3"/>
    </w:pPr>
    <w:rPr>
      <w:rFonts w:ascii="Arial" w:hAnsi="Arial" w:eastAsia="黑体"/>
      <w:szCs w:val="20"/>
      <w:lang w:val="zh-CN"/>
    </w:rPr>
  </w:style>
  <w:style w:type="paragraph" w:styleId="7">
    <w:name w:val="heading 5"/>
    <w:basedOn w:val="1"/>
    <w:next w:val="1"/>
    <w:qFormat/>
    <w:uiPriority w:val="0"/>
    <w:pPr>
      <w:keepNext/>
      <w:keepLines/>
      <w:widowControl w:val="0"/>
      <w:tabs>
        <w:tab w:val="left" w:pos="1008"/>
      </w:tabs>
      <w:overflowPunct w:val="0"/>
      <w:spacing w:before="280" w:after="290" w:line="377" w:lineRule="auto"/>
      <w:ind w:left="1008"/>
      <w:outlineLvl w:val="4"/>
    </w:pPr>
    <w:rPr>
      <w:sz w:val="21"/>
      <w:szCs w:val="20"/>
      <w:lang w:val="zh-CN"/>
    </w:rPr>
  </w:style>
  <w:style w:type="paragraph" w:styleId="8">
    <w:name w:val="heading 6"/>
    <w:basedOn w:val="1"/>
    <w:next w:val="1"/>
    <w:qFormat/>
    <w:uiPriority w:val="0"/>
    <w:pPr>
      <w:keepNext/>
      <w:keepLines/>
      <w:widowControl w:val="0"/>
      <w:tabs>
        <w:tab w:val="left" w:pos="1152"/>
      </w:tabs>
      <w:overflowPunct w:val="0"/>
      <w:spacing w:before="240" w:after="64"/>
      <w:ind w:left="1152"/>
      <w:jc w:val="left"/>
      <w:outlineLvl w:val="5"/>
    </w:pPr>
    <w:rPr>
      <w:sz w:val="21"/>
      <w:szCs w:val="20"/>
      <w:lang w:val="zh-CN"/>
    </w:rPr>
  </w:style>
  <w:style w:type="paragraph" w:styleId="9">
    <w:name w:val="heading 7"/>
    <w:basedOn w:val="1"/>
    <w:next w:val="1"/>
    <w:qFormat/>
    <w:uiPriority w:val="0"/>
    <w:pPr>
      <w:keepNext/>
      <w:keepLines/>
      <w:widowControl w:val="0"/>
      <w:tabs>
        <w:tab w:val="left" w:pos="1296"/>
      </w:tabs>
      <w:overflowPunct w:val="0"/>
      <w:spacing w:before="240" w:after="64" w:line="319" w:lineRule="auto"/>
      <w:ind w:left="1296"/>
      <w:outlineLvl w:val="6"/>
    </w:pPr>
    <w:rPr>
      <w:sz w:val="21"/>
      <w:szCs w:val="20"/>
      <w:lang w:val="zh-CN"/>
    </w:rPr>
  </w:style>
  <w:style w:type="paragraph" w:styleId="10">
    <w:name w:val="heading 8"/>
    <w:basedOn w:val="1"/>
    <w:next w:val="1"/>
    <w:qFormat/>
    <w:uiPriority w:val="0"/>
    <w:pPr>
      <w:keepNext/>
      <w:keepLines/>
      <w:widowControl w:val="0"/>
      <w:tabs>
        <w:tab w:val="left" w:pos="1440"/>
      </w:tabs>
      <w:overflowPunct w:val="0"/>
      <w:spacing w:before="240" w:after="64" w:line="319" w:lineRule="auto"/>
      <w:ind w:left="1440"/>
      <w:outlineLvl w:val="7"/>
    </w:pPr>
    <w:rPr>
      <w:rFonts w:ascii="Arial" w:hAnsi="Arial" w:eastAsia="黑体"/>
      <w:szCs w:val="20"/>
      <w:lang w:val="zh-CN"/>
    </w:rPr>
  </w:style>
  <w:style w:type="paragraph" w:styleId="11">
    <w:name w:val="heading 9"/>
    <w:basedOn w:val="1"/>
    <w:next w:val="1"/>
    <w:qFormat/>
    <w:uiPriority w:val="0"/>
    <w:pPr>
      <w:keepNext/>
      <w:keepLines/>
      <w:widowControl w:val="0"/>
      <w:tabs>
        <w:tab w:val="left" w:pos="1584"/>
      </w:tabs>
      <w:overflowPunct w:val="0"/>
      <w:spacing w:before="240" w:after="64" w:line="319" w:lineRule="auto"/>
      <w:ind w:left="1584"/>
      <w:outlineLvl w:val="8"/>
    </w:pPr>
    <w:rPr>
      <w:rFonts w:ascii="Arial" w:hAnsi="Arial" w:eastAsia="黑体"/>
      <w:sz w:val="18"/>
      <w:szCs w:val="20"/>
      <w:lang w:val="zh-CN"/>
    </w:rPr>
  </w:style>
  <w:style w:type="character" w:default="1" w:styleId="35">
    <w:name w:val="Default Paragraph Font"/>
    <w:qFormat/>
    <w:uiPriority w:val="0"/>
  </w:style>
  <w:style w:type="table" w:default="1" w:styleId="34">
    <w:name w:val="Normal Table"/>
    <w:qFormat/>
    <w:uiPriority w:val="99"/>
    <w:tblPr>
      <w:tblCellMar>
        <w:top w:w="0" w:type="dxa"/>
        <w:left w:w="108" w:type="dxa"/>
        <w:bottom w:w="0" w:type="dxa"/>
        <w:right w:w="108" w:type="dxa"/>
      </w:tblCellMar>
    </w:tblPr>
  </w:style>
  <w:style w:type="paragraph" w:styleId="5">
    <w:name w:val="Body Text"/>
    <w:basedOn w:val="1"/>
    <w:qFormat/>
    <w:uiPriority w:val="0"/>
    <w:pPr>
      <w:tabs>
        <w:tab w:val="left" w:pos="357"/>
      </w:tabs>
      <w:overflowPunct w:val="0"/>
    </w:pPr>
    <w:rPr>
      <w:sz w:val="18"/>
      <w:szCs w:val="20"/>
      <w:lang w:val="zh-CN"/>
    </w:rPr>
  </w:style>
  <w:style w:type="paragraph" w:styleId="12">
    <w:name w:val="caption"/>
    <w:basedOn w:val="1"/>
    <w:next w:val="1"/>
    <w:qFormat/>
    <w:uiPriority w:val="0"/>
    <w:pPr>
      <w:spacing w:line="360" w:lineRule="atLeast"/>
      <w:ind w:firstLine="0" w:firstLineChars="0"/>
    </w:pPr>
    <w:rPr>
      <w:rFonts w:ascii="Cambria" w:hAnsi="Cambria" w:eastAsia="黑体"/>
      <w:sz w:val="20"/>
      <w:szCs w:val="20"/>
    </w:rPr>
  </w:style>
  <w:style w:type="paragraph" w:styleId="13">
    <w:name w:val="Document Map"/>
    <w:basedOn w:val="1"/>
    <w:qFormat/>
    <w:uiPriority w:val="0"/>
    <w:pPr>
      <w:spacing w:line="240" w:lineRule="auto"/>
      <w:ind w:firstLine="0" w:firstLineChars="0"/>
    </w:pPr>
    <w:rPr>
      <w:rFonts w:ascii="宋体"/>
      <w:kern w:val="0"/>
      <w:sz w:val="18"/>
      <w:szCs w:val="18"/>
    </w:rPr>
  </w:style>
  <w:style w:type="paragraph" w:styleId="14">
    <w:name w:val="annotation text"/>
    <w:basedOn w:val="1"/>
    <w:qFormat/>
    <w:uiPriority w:val="0"/>
    <w:pPr>
      <w:jc w:val="left"/>
    </w:pPr>
  </w:style>
  <w:style w:type="paragraph" w:styleId="15">
    <w:name w:val="Body Text Indent"/>
    <w:basedOn w:val="1"/>
    <w:qFormat/>
    <w:uiPriority w:val="0"/>
    <w:pPr>
      <w:spacing w:after="120"/>
      <w:ind w:left="200" w:leftChars="200"/>
    </w:pPr>
    <w:rPr>
      <w:lang w:val="zh-CN"/>
    </w:rPr>
  </w:style>
  <w:style w:type="paragraph" w:styleId="16">
    <w:name w:val="toc 3"/>
    <w:basedOn w:val="1"/>
    <w:next w:val="1"/>
    <w:qFormat/>
    <w:uiPriority w:val="0"/>
    <w:pPr>
      <w:tabs>
        <w:tab w:val="right" w:leader="dot" w:pos="8958"/>
      </w:tabs>
      <w:ind w:left="200" w:leftChars="200" w:firstLine="0" w:firstLineChars="0"/>
    </w:pPr>
    <w:rPr>
      <w:rFonts w:eastAsia="黑体"/>
      <w:szCs w:val="20"/>
    </w:rPr>
  </w:style>
  <w:style w:type="paragraph" w:styleId="17">
    <w:name w:val="Plain Text"/>
    <w:basedOn w:val="1"/>
    <w:qFormat/>
    <w:uiPriority w:val="0"/>
    <w:rPr>
      <w:rFonts w:ascii="宋体"/>
      <w:szCs w:val="21"/>
    </w:rPr>
  </w:style>
  <w:style w:type="paragraph" w:styleId="18">
    <w:name w:val="Date"/>
    <w:basedOn w:val="1"/>
    <w:next w:val="1"/>
    <w:qFormat/>
    <w:uiPriority w:val="0"/>
    <w:pPr>
      <w:ind w:left="2500" w:leftChars="2500"/>
    </w:pPr>
    <w:rPr>
      <w:lang w:val="zh-CN"/>
    </w:rPr>
  </w:style>
  <w:style w:type="paragraph" w:styleId="19">
    <w:name w:val="Body Text Indent 2"/>
    <w:basedOn w:val="1"/>
    <w:qFormat/>
    <w:uiPriority w:val="0"/>
    <w:pPr>
      <w:spacing w:line="240" w:lineRule="auto"/>
    </w:pPr>
  </w:style>
  <w:style w:type="paragraph" w:styleId="20">
    <w:name w:val="endnote text"/>
    <w:basedOn w:val="1"/>
    <w:qFormat/>
    <w:uiPriority w:val="0"/>
    <w:pPr>
      <w:snapToGrid w:val="0"/>
      <w:spacing w:line="240" w:lineRule="auto"/>
      <w:ind w:firstLine="0" w:firstLineChars="0"/>
      <w:jc w:val="left"/>
    </w:pPr>
    <w:rPr>
      <w:kern w:val="0"/>
      <w:sz w:val="20"/>
      <w:szCs w:val="20"/>
    </w:rPr>
  </w:style>
  <w:style w:type="paragraph" w:styleId="21">
    <w:name w:val="Balloon Text"/>
    <w:basedOn w:val="1"/>
    <w:qFormat/>
    <w:uiPriority w:val="0"/>
    <w:pPr>
      <w:spacing w:line="240" w:lineRule="auto"/>
    </w:pPr>
    <w:rPr>
      <w:sz w:val="18"/>
      <w:szCs w:val="18"/>
    </w:rPr>
  </w:style>
  <w:style w:type="paragraph" w:styleId="22">
    <w:name w:val="footer"/>
    <w:basedOn w:val="1"/>
    <w:qFormat/>
    <w:uiPriority w:val="0"/>
    <w:pPr>
      <w:tabs>
        <w:tab w:val="center" w:pos="4153"/>
        <w:tab w:val="right" w:pos="8306"/>
      </w:tabs>
      <w:snapToGrid w:val="0"/>
      <w:jc w:val="left"/>
    </w:pPr>
    <w:rPr>
      <w:sz w:val="18"/>
      <w:szCs w:val="18"/>
      <w:lang w:val="zh-CN"/>
    </w:rPr>
  </w:style>
  <w:style w:type="paragraph" w:styleId="23">
    <w:name w:val="header"/>
    <w:basedOn w:val="1"/>
    <w:qFormat/>
    <w:uiPriority w:val="0"/>
    <w:pPr>
      <w:pBdr>
        <w:bottom w:val="single" w:color="auto" w:sz="8" w:space="1"/>
      </w:pBdr>
      <w:tabs>
        <w:tab w:val="center" w:pos="4153"/>
        <w:tab w:val="right" w:pos="8306"/>
      </w:tabs>
      <w:snapToGrid w:val="0"/>
      <w:ind w:firstLine="0" w:firstLineChars="0"/>
      <w:jc w:val="center"/>
    </w:pPr>
    <w:rPr>
      <w:sz w:val="21"/>
      <w:szCs w:val="21"/>
      <w:lang w:val="zh-CN"/>
    </w:rPr>
  </w:style>
  <w:style w:type="paragraph" w:styleId="24">
    <w:name w:val="toc 1"/>
    <w:basedOn w:val="1"/>
    <w:next w:val="1"/>
    <w:qFormat/>
    <w:uiPriority w:val="0"/>
    <w:pPr>
      <w:tabs>
        <w:tab w:val="right" w:leader="dot" w:pos="8777"/>
      </w:tabs>
      <w:spacing w:before="120"/>
      <w:ind w:firstLine="0" w:firstLineChars="0"/>
    </w:pPr>
    <w:rPr>
      <w:rFonts w:eastAsia="黑体"/>
      <w:szCs w:val="28"/>
    </w:rPr>
  </w:style>
  <w:style w:type="paragraph" w:styleId="25">
    <w:name w:val="Subtitle"/>
    <w:basedOn w:val="1"/>
    <w:next w:val="1"/>
    <w:qFormat/>
    <w:uiPriority w:val="0"/>
    <w:pPr>
      <w:spacing w:line="240" w:lineRule="auto"/>
      <w:ind w:firstLine="0" w:firstLineChars="0"/>
      <w:jc w:val="center"/>
      <w:outlineLvl w:val="8"/>
    </w:pPr>
    <w:rPr>
      <w:rFonts w:ascii="Calibri" w:hAnsi="Calibri" w:eastAsia="黑体" w:cs="宋体"/>
      <w:b/>
      <w:bCs/>
      <w:kern w:val="28"/>
      <w:sz w:val="30"/>
      <w:szCs w:val="32"/>
    </w:rPr>
  </w:style>
  <w:style w:type="paragraph" w:styleId="26">
    <w:name w:val="footnote text"/>
    <w:basedOn w:val="1"/>
    <w:qFormat/>
    <w:uiPriority w:val="0"/>
    <w:pPr>
      <w:widowControl/>
      <w:snapToGrid w:val="0"/>
      <w:spacing w:line="240" w:lineRule="auto"/>
    </w:pPr>
    <w:rPr>
      <w:rFonts w:cs="宋体"/>
      <w:sz w:val="18"/>
      <w:szCs w:val="18"/>
    </w:rPr>
  </w:style>
  <w:style w:type="paragraph" w:styleId="27">
    <w:name w:val="toc 2"/>
    <w:basedOn w:val="1"/>
    <w:next w:val="1"/>
    <w:qFormat/>
    <w:uiPriority w:val="0"/>
    <w:pPr>
      <w:tabs>
        <w:tab w:val="right" w:leader="dot" w:pos="8777"/>
      </w:tabs>
      <w:ind w:left="100" w:leftChars="100" w:firstLine="0" w:firstLineChars="0"/>
    </w:pPr>
    <w:rPr>
      <w:rFonts w:eastAsia="黑体"/>
    </w:r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cs="宋体"/>
      <w:kern w:val="0"/>
    </w:rPr>
  </w:style>
  <w:style w:type="paragraph" w:styleId="29">
    <w:name w:val="Normal (Web)"/>
    <w:basedOn w:val="1"/>
    <w:qFormat/>
    <w:uiPriority w:val="0"/>
    <w:pPr>
      <w:widowControl/>
      <w:spacing w:before="100" w:beforeAutospacing="1" w:after="100" w:afterAutospacing="1"/>
      <w:jc w:val="left"/>
    </w:pPr>
    <w:rPr>
      <w:rFonts w:ascii="宋体" w:cs="宋体"/>
      <w:kern w:val="0"/>
    </w:rPr>
  </w:style>
  <w:style w:type="paragraph" w:styleId="30">
    <w:name w:val="Title"/>
    <w:basedOn w:val="1"/>
    <w:next w:val="1"/>
    <w:qFormat/>
    <w:uiPriority w:val="0"/>
    <w:pPr>
      <w:spacing w:line="240" w:lineRule="auto"/>
      <w:ind w:firstLine="0" w:firstLineChars="0"/>
      <w:jc w:val="center"/>
      <w:outlineLvl w:val="7"/>
    </w:pPr>
    <w:rPr>
      <w:rFonts w:eastAsia="黑体" w:cs="宋体"/>
      <w:b/>
      <w:bCs/>
      <w:sz w:val="44"/>
      <w:szCs w:val="32"/>
    </w:rPr>
  </w:style>
  <w:style w:type="paragraph" w:styleId="31">
    <w:name w:val="annotation subject"/>
    <w:basedOn w:val="14"/>
    <w:next w:val="14"/>
    <w:qFormat/>
    <w:uiPriority w:val="0"/>
    <w:rPr>
      <w:b/>
      <w:bCs/>
    </w:rPr>
  </w:style>
  <w:style w:type="paragraph" w:styleId="32">
    <w:name w:val="Body Text First Indent"/>
    <w:basedOn w:val="5"/>
    <w:qFormat/>
    <w:uiPriority w:val="0"/>
    <w:pPr>
      <w:tabs>
        <w:tab w:val="clear" w:pos="357"/>
      </w:tabs>
      <w:overflowPunct/>
      <w:spacing w:after="120"/>
      <w:ind w:firstLine="100" w:firstLineChars="100"/>
    </w:pPr>
    <w:rPr>
      <w:sz w:val="21"/>
      <w:szCs w:val="24"/>
      <w:lang w:val="en-US"/>
    </w:rPr>
  </w:style>
  <w:style w:type="paragraph" w:styleId="33">
    <w:name w:val="Body Text First Indent 2"/>
    <w:basedOn w:val="15"/>
    <w:qFormat/>
    <w:uiPriority w:val="0"/>
    <w:pPr>
      <w:spacing w:line="240" w:lineRule="auto"/>
    </w:pPr>
  </w:style>
  <w:style w:type="character" w:styleId="36">
    <w:name w:val="Strong"/>
    <w:basedOn w:val="35"/>
    <w:qFormat/>
    <w:uiPriority w:val="0"/>
    <w:rPr>
      <w:b/>
    </w:rPr>
  </w:style>
  <w:style w:type="character" w:styleId="37">
    <w:name w:val="endnote reference"/>
    <w:basedOn w:val="35"/>
    <w:qFormat/>
    <w:uiPriority w:val="0"/>
    <w:rPr>
      <w:vertAlign w:val="superscript"/>
    </w:rPr>
  </w:style>
  <w:style w:type="character" w:styleId="38">
    <w:name w:val="page number"/>
    <w:basedOn w:val="35"/>
    <w:qFormat/>
    <w:uiPriority w:val="0"/>
  </w:style>
  <w:style w:type="character" w:styleId="39">
    <w:name w:val="FollowedHyperlink"/>
    <w:basedOn w:val="35"/>
    <w:qFormat/>
    <w:uiPriority w:val="0"/>
    <w:rPr>
      <w:color w:val="800080"/>
      <w:u w:val="single"/>
    </w:rPr>
  </w:style>
  <w:style w:type="character" w:styleId="40">
    <w:name w:val="Hyperlink"/>
    <w:qFormat/>
    <w:uiPriority w:val="0"/>
    <w:rPr>
      <w:color w:val="0000FF"/>
      <w:u w:val="single"/>
    </w:rPr>
  </w:style>
  <w:style w:type="character" w:styleId="41">
    <w:name w:val="HTML Code"/>
    <w:basedOn w:val="35"/>
    <w:qFormat/>
    <w:uiPriority w:val="0"/>
    <w:rPr>
      <w:rFonts w:ascii="Courier New" w:hAnsi="Courier New"/>
      <w:sz w:val="20"/>
    </w:rPr>
  </w:style>
  <w:style w:type="character" w:styleId="42">
    <w:name w:val="annotation reference"/>
    <w:basedOn w:val="35"/>
    <w:qFormat/>
    <w:uiPriority w:val="0"/>
    <w:rPr>
      <w:sz w:val="21"/>
      <w:szCs w:val="21"/>
    </w:rPr>
  </w:style>
  <w:style w:type="character" w:styleId="43">
    <w:name w:val="footnote reference"/>
    <w:basedOn w:val="35"/>
    <w:qFormat/>
    <w:uiPriority w:val="0"/>
    <w:rPr>
      <w:vertAlign w:val="superscript"/>
    </w:rPr>
  </w:style>
  <w:style w:type="paragraph" w:customStyle="1" w:styleId="44">
    <w:name w:val="公式"/>
    <w:basedOn w:val="1"/>
    <w:link w:val="47"/>
    <w:qFormat/>
    <w:uiPriority w:val="0"/>
    <w:pPr>
      <w:tabs>
        <w:tab w:val="center" w:pos="4479"/>
        <w:tab w:val="right" w:pos="8959"/>
      </w:tabs>
      <w:autoSpaceDE w:val="0"/>
      <w:autoSpaceDN w:val="0"/>
      <w:adjustRightInd w:val="0"/>
      <w:spacing w:line="240" w:lineRule="auto"/>
      <w:ind w:firstLine="480"/>
    </w:pPr>
    <w:rPr>
      <w:rFonts w:ascii="Cambria Math" w:hAnsi="Cambria Math" w:cs="Cambria Math"/>
      <w:i/>
      <w:iCs/>
      <w:szCs w:val="21"/>
    </w:rPr>
  </w:style>
  <w:style w:type="paragraph" w:customStyle="1" w:styleId="45">
    <w:name w:val="样式1"/>
    <w:basedOn w:val="1"/>
    <w:qFormat/>
    <w:uiPriority w:val="0"/>
    <w:pPr>
      <w:tabs>
        <w:tab w:val="center" w:pos="4479"/>
        <w:tab w:val="right" w:pos="8959"/>
      </w:tabs>
      <w:autoSpaceDE w:val="0"/>
      <w:autoSpaceDN w:val="0"/>
      <w:adjustRightInd w:val="0"/>
      <w:spacing w:line="240" w:lineRule="auto"/>
    </w:pPr>
    <w:rPr>
      <w:rFonts w:ascii="Cambria Math" w:hAnsi="Cambria Math" w:eastAsia="Cambria Math"/>
      <w:i/>
      <w:szCs w:val="21"/>
    </w:rPr>
  </w:style>
  <w:style w:type="paragraph" w:customStyle="1" w:styleId="46">
    <w:name w:val="gs1"/>
    <w:basedOn w:val="1"/>
    <w:qFormat/>
    <w:uiPriority w:val="0"/>
    <w:pPr>
      <w:tabs>
        <w:tab w:val="center" w:pos="4479"/>
        <w:tab w:val="right" w:pos="8959"/>
      </w:tabs>
      <w:autoSpaceDE w:val="0"/>
      <w:autoSpaceDN w:val="0"/>
      <w:adjustRightInd w:val="0"/>
      <w:spacing w:line="240" w:lineRule="auto"/>
    </w:pPr>
    <w:rPr>
      <w:rFonts w:ascii="Cambria Math" w:hAnsi="Cambria Math" w:cs="Cambria Math"/>
    </w:rPr>
  </w:style>
  <w:style w:type="character" w:customStyle="1" w:styleId="47">
    <w:name w:val="公式 Char"/>
    <w:link w:val="44"/>
    <w:qFormat/>
    <w:uiPriority w:val="0"/>
    <w:rPr>
      <w:rFonts w:ascii="Cambria Math" w:hAnsi="Cambria Math" w:eastAsia="宋体" w:cs="Cambria Math"/>
      <w:i/>
      <w:iCs/>
      <w:kern w:val="2"/>
      <w:sz w:val="24"/>
      <w:szCs w:val="21"/>
      <w:lang w:val="en-US" w:eastAsia="zh-CN" w:bidi="ar-SA"/>
    </w:rPr>
  </w:style>
  <w:style w:type="paragraph" w:customStyle="1" w:styleId="48">
    <w:name w:val="Text of Reference"/>
    <w:qFormat/>
    <w:uiPriority w:val="0"/>
    <w:pPr>
      <w:spacing w:before="60" w:line="320" w:lineRule="exact"/>
      <w:ind w:left="200" w:hanging="200" w:hangingChars="200"/>
      <w:jc w:val="both"/>
    </w:pPr>
    <w:rPr>
      <w:rFonts w:ascii="Times New Roman" w:hAnsi="Times New Roman" w:eastAsia="宋体" w:cs="Times New Roman"/>
      <w:sz w:val="21"/>
      <w:lang w:val="en-US" w:eastAsia="zh-CN" w:bidi="ar-SA"/>
    </w:rPr>
  </w:style>
  <w:style w:type="paragraph" w:customStyle="1" w:styleId="49">
    <w:name w:val="List Paragraph_a031ecc9-bbbd-4d1c-a0f7-7135849abb7a"/>
    <w:basedOn w:val="1"/>
    <w:qFormat/>
    <w:uiPriority w:val="0"/>
    <w:pPr>
      <w:spacing w:line="240" w:lineRule="exact"/>
    </w:pPr>
    <w:rPr>
      <w:sz w:val="21"/>
    </w:rPr>
  </w:style>
  <w:style w:type="character" w:customStyle="1" w:styleId="50">
    <w:name w:val="Placeholder Text_02a67f75-3b25-4674-ab9e-1eb59a8b2d7b"/>
    <w:basedOn w:val="35"/>
    <w:qFormat/>
    <w:uiPriority w:val="0"/>
    <w:rPr>
      <w:color w:val="808080"/>
    </w:rPr>
  </w:style>
  <w:style w:type="paragraph" w:customStyle="1" w:styleId="51">
    <w:name w:val="参考文献"/>
    <w:qFormat/>
    <w:uiPriority w:val="0"/>
    <w:pPr>
      <w:spacing w:before="60" w:line="320" w:lineRule="exact"/>
      <w:ind w:left="200" w:hanging="200" w:hangingChars="200"/>
      <w:jc w:val="both"/>
    </w:pPr>
    <w:rPr>
      <w:rFonts w:ascii="Times New Roman" w:hAnsi="Times New Roman" w:eastAsia="宋体" w:cs="Times New Roman"/>
      <w:sz w:val="21"/>
      <w:lang w:val="en-US" w:eastAsia="zh-CN" w:bidi="ar-SA"/>
    </w:rPr>
  </w:style>
  <w:style w:type="character" w:customStyle="1" w:styleId="52">
    <w:name w:val="尾注文本 Char1"/>
    <w:basedOn w:val="35"/>
    <w:qFormat/>
    <w:uiPriority w:val="0"/>
    <w:rPr>
      <w:kern w:val="2"/>
      <w:sz w:val="21"/>
      <w:szCs w:val="24"/>
    </w:rPr>
  </w:style>
  <w:style w:type="paragraph" w:customStyle="1" w:styleId="53">
    <w:name w:val="✪独创性声明（标题）"/>
    <w:basedOn w:val="1"/>
    <w:next w:val="54"/>
    <w:qFormat/>
    <w:uiPriority w:val="0"/>
    <w:pPr>
      <w:widowControl/>
      <w:spacing w:before="50" w:beforeLines="50" w:after="50" w:afterLines="50" w:line="440" w:lineRule="atLeast"/>
      <w:ind w:firstLine="360" w:firstLineChars="0"/>
      <w:jc w:val="center"/>
    </w:pPr>
    <w:rPr>
      <w:rFonts w:ascii="宋体" w:cs="宋体"/>
      <w:b/>
      <w:bCs/>
      <w:sz w:val="32"/>
      <w:szCs w:val="32"/>
    </w:rPr>
  </w:style>
  <w:style w:type="paragraph" w:customStyle="1" w:styleId="54">
    <w:name w:val="✪独创性声明（声明内容）"/>
    <w:basedOn w:val="1"/>
    <w:qFormat/>
    <w:uiPriority w:val="0"/>
    <w:pPr>
      <w:tabs>
        <w:tab w:val="left" w:pos="0"/>
      </w:tabs>
    </w:pPr>
    <w:rPr>
      <w:rFonts w:ascii="楷体_GB2312" w:eastAsia="楷体_GB2312" w:cs="宋体"/>
      <w:szCs w:val="22"/>
    </w:rPr>
  </w:style>
  <w:style w:type="paragraph" w:customStyle="1" w:styleId="55">
    <w:name w:val="✪独创性声明（署名）"/>
    <w:basedOn w:val="1"/>
    <w:next w:val="1"/>
    <w:qFormat/>
    <w:uiPriority w:val="0"/>
    <w:pPr>
      <w:tabs>
        <w:tab w:val="left" w:pos="4820"/>
      </w:tabs>
      <w:spacing w:before="100" w:beforeLines="100"/>
    </w:pPr>
    <w:rPr>
      <w:rFonts w:ascii="楷体_GB2312" w:eastAsia="楷体_GB2312" w:cs="宋体"/>
      <w:szCs w:val="22"/>
    </w:rPr>
  </w:style>
  <w:style w:type="paragraph" w:customStyle="1" w:styleId="56">
    <w:name w:val="图表标题"/>
    <w:basedOn w:val="1"/>
    <w:qFormat/>
    <w:uiPriority w:val="0"/>
    <w:pPr>
      <w:spacing w:before="50" w:beforeLines="50"/>
      <w:ind w:firstLine="0" w:firstLineChars="0"/>
      <w:jc w:val="center"/>
    </w:pPr>
    <w:rPr>
      <w:sz w:val="21"/>
      <w:szCs w:val="21"/>
    </w:rPr>
  </w:style>
  <w:style w:type="paragraph" w:customStyle="1" w:styleId="57">
    <w:name w:val="图表说明"/>
    <w:basedOn w:val="1"/>
    <w:qFormat/>
    <w:uiPriority w:val="0"/>
    <w:rPr>
      <w:sz w:val="21"/>
      <w:szCs w:val="21"/>
    </w:rPr>
  </w:style>
  <w:style w:type="paragraph" w:customStyle="1" w:styleId="58">
    <w:name w:val="表内文字"/>
    <w:qFormat/>
    <w:uiPriority w:val="0"/>
    <w:pPr>
      <w:bidi w:val="0"/>
      <w:spacing w:line="360" w:lineRule="exact"/>
      <w:jc w:val="center"/>
    </w:pPr>
    <w:rPr>
      <w:rFonts w:ascii="Times New Roman" w:hAnsi="Times New Roman" w:eastAsia="宋体" w:cs="Times New Roman"/>
      <w:snapToGrid w:val="0"/>
      <w:color w:val="000000"/>
      <w:kern w:val="2"/>
      <w:sz w:val="21"/>
      <w:szCs w:val="21"/>
      <w:lang w:val="en-US" w:eastAsia="zh-CN" w:bidi="ar-SA"/>
    </w:rPr>
  </w:style>
  <w:style w:type="paragraph" w:customStyle="1" w:styleId="59">
    <w:name w:val="关键词"/>
    <w:basedOn w:val="1"/>
    <w:qFormat/>
    <w:uiPriority w:val="0"/>
    <w:pPr>
      <w:ind w:firstLine="0" w:firstLineChars="0"/>
      <w:jc w:val="left"/>
    </w:pPr>
    <w:rPr>
      <w:sz w:val="21"/>
      <w:szCs w:val="22"/>
    </w:rPr>
  </w:style>
  <w:style w:type="paragraph" w:customStyle="1" w:styleId="60">
    <w:name w:val="索引"/>
    <w:basedOn w:val="1"/>
    <w:qFormat/>
    <w:uiPriority w:val="0"/>
    <w:pPr>
      <w:spacing w:line="320" w:lineRule="exact"/>
    </w:pPr>
    <w:rPr>
      <w:sz w:val="18"/>
    </w:rPr>
  </w:style>
  <w:style w:type="paragraph" w:customStyle="1" w:styleId="61">
    <w:name w:val="图片"/>
    <w:basedOn w:val="1"/>
    <w:qFormat/>
    <w:uiPriority w:val="0"/>
    <w:pPr>
      <w:spacing w:before="50" w:beforeLines="50" w:line="240" w:lineRule="auto"/>
      <w:ind w:firstLine="0" w:firstLineChars="0"/>
      <w:jc w:val="center"/>
    </w:pPr>
    <w:rPr>
      <w:szCs w:val="28"/>
    </w:rPr>
  </w:style>
  <w:style w:type="paragraph" w:customStyle="1" w:styleId="62">
    <w:name w:val="gs"/>
    <w:basedOn w:val="1"/>
    <w:qFormat/>
    <w:uiPriority w:val="0"/>
    <w:pPr>
      <w:tabs>
        <w:tab w:val="center" w:pos="4479"/>
        <w:tab w:val="right" w:pos="8959"/>
      </w:tabs>
      <w:autoSpaceDE w:val="0"/>
      <w:autoSpaceDN w:val="0"/>
      <w:adjustRightInd w:val="0"/>
      <w:jc w:val="center"/>
    </w:pPr>
    <w:rPr>
      <w:rFonts w:ascii="Cambria Math" w:hAnsi="Cambria Math" w:eastAsia="Cambria Math"/>
      <w: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header" Target="header21.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header" Target="header18.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36</Pages>
  <Words>19301</Words>
  <Characters>26435</Characters>
  <Paragraphs>709</Paragraphs>
  <TotalTime>113</TotalTime>
  <ScaleCrop>false</ScaleCrop>
  <LinksUpToDate>false</LinksUpToDate>
  <CharactersWithSpaces>27550</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2017-06-16T07:13:00Z</dcterms:created>
  <dc:creator>yangdy</dc:creator>
  <cp:lastModifiedBy>无</cp:lastModifiedBy>
  <cp:lastPrinted>2018-09-10T03:10:00Z</cp:lastPrinted>
  <dcterms:modified xsi:type="dcterms:W3CDTF">2026-05-19T16:15:25Z</dcterms:modified>
  <dc:title>中国农业大学学位论文格式、书写要求</dc:title>
  <cp:revision>774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RubyTemplateID" linkTarget="0">
    <vt:lpwstr>6</vt:lpwstr>
  </property>
  <property fmtid="{D5CDD505-2E9C-101B-9397-08002B2CF9AE}" pid="4" name="ICV">
    <vt:lpwstr>1F62EA78FCBF40848502C006BC760775_13</vt:lpwstr>
  </property>
  <property fmtid="{D5CDD505-2E9C-101B-9397-08002B2CF9AE}" pid="5" name="KSOTemplateDocerSaveRecord">
    <vt:lpwstr>eyJoZGlkIjoiODlmMjZkM2ViY2JhYjJhMDk4MDk3YTNmYjI2YzQ4OGUiLCJ1c2VySWQiOiI4OTI3MTk3MDYifQ==</vt:lpwstr>
  </property>
</Properties>
</file>